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43D1B">
      <w:pPr>
        <w:keepLines/>
        <w:tabs>
          <w:tab w:val="left" w:pos="-720"/>
        </w:tabs>
        <w:suppressAutoHyphens/>
        <w:jc w:val="center"/>
        <w:rPr>
          <w:rFonts w:ascii="Times New Roman" w:hAnsi="Times New Roman"/>
          <w:b/>
          <w:spacing w:val="-3"/>
          <w:sz w:val="28"/>
        </w:rPr>
      </w:pPr>
      <w:r>
        <w:rPr>
          <w:rFonts w:ascii="Times New Roman" w:hAnsi="Times New Roman"/>
          <w:b/>
          <w:spacing w:val="-3"/>
          <w:sz w:val="28"/>
        </w:rPr>
        <w:t xml:space="preserve">OZNACZANIE STOPNIA I STAŁEJ DYSOCJACJI </w:t>
      </w:r>
    </w:p>
    <w:p w:rsidR="00000000" w:rsidRDefault="00143D1B">
      <w:pPr>
        <w:pStyle w:val="Nagwek5"/>
      </w:pPr>
      <w:r>
        <w:t>METODĄ KOLORYMETRYCZNĄ</w:t>
      </w:r>
    </w:p>
    <w:p w:rsidR="00000000" w:rsidRDefault="00143D1B">
      <w:pPr>
        <w:tabs>
          <w:tab w:val="left" w:pos="-720"/>
        </w:tabs>
        <w:suppressAutoHyphens/>
        <w:jc w:val="both"/>
        <w:rPr>
          <w:rFonts w:ascii="CG Times" w:hAnsi="CG Times"/>
          <w:spacing w:val="-3"/>
        </w:rPr>
      </w:pPr>
    </w:p>
    <w:p w:rsidR="00000000" w:rsidRDefault="00143D1B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000000" w:rsidRDefault="00143D1B">
      <w:pPr>
        <w:pStyle w:val="Nagwek2"/>
        <w:rPr>
          <w:sz w:val="24"/>
        </w:rPr>
      </w:pPr>
      <w:r>
        <w:rPr>
          <w:sz w:val="24"/>
        </w:rPr>
        <w:t>Cel ćwiczenia</w:t>
      </w:r>
    </w:p>
    <w:p w:rsidR="00000000" w:rsidRDefault="00143D1B">
      <w:pPr>
        <w:tabs>
          <w:tab w:val="left" w:pos="-720"/>
        </w:tabs>
        <w:suppressAutoHyphens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Celem ćwiczenia jest:</w:t>
      </w:r>
    </w:p>
    <w:p w:rsidR="00000000" w:rsidRDefault="00143D1B">
      <w:pPr>
        <w:numPr>
          <w:ilvl w:val="0"/>
          <w:numId w:val="1"/>
        </w:numPr>
        <w:tabs>
          <w:tab w:val="left" w:pos="-720"/>
          <w:tab w:val="left" w:pos="0"/>
          <w:tab w:val="left" w:pos="720"/>
        </w:tabs>
        <w:suppressAutoHyphens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Głębsze zrozumienie zagadnienia dysocjacji w elektrolitach słabych i mocnych, oraz zależności stopnia dysocjacji od stężenia roztworu.</w:t>
      </w:r>
    </w:p>
    <w:p w:rsidR="00000000" w:rsidRDefault="00143D1B">
      <w:pPr>
        <w:numPr>
          <w:ilvl w:val="0"/>
          <w:numId w:val="1"/>
        </w:numPr>
        <w:tabs>
          <w:tab w:val="left" w:pos="-720"/>
          <w:tab w:val="left" w:pos="0"/>
          <w:tab w:val="left" w:pos="720"/>
        </w:tabs>
        <w:suppressAutoHyphens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Głębsze zrozumienie </w:t>
      </w:r>
      <w:r>
        <w:rPr>
          <w:rFonts w:ascii="Times New Roman" w:hAnsi="Times New Roman"/>
          <w:spacing w:val="-3"/>
        </w:rPr>
        <w:t>prawa rozcieńczeń Ostwalda i prawa działania mas oraz ich ograniczonej stosowalności.</w:t>
      </w:r>
    </w:p>
    <w:p w:rsidR="00000000" w:rsidRDefault="00143D1B">
      <w:pPr>
        <w:numPr>
          <w:ilvl w:val="0"/>
          <w:numId w:val="1"/>
        </w:numPr>
        <w:tabs>
          <w:tab w:val="left" w:pos="-720"/>
          <w:tab w:val="left" w:pos="0"/>
          <w:tab w:val="left" w:pos="720"/>
        </w:tabs>
        <w:suppressAutoHyphens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Opanowanie materiału w zakresie absorpcji światła w roztworach.</w:t>
      </w:r>
    </w:p>
    <w:p w:rsidR="00000000" w:rsidRDefault="00143D1B">
      <w:pPr>
        <w:numPr>
          <w:ilvl w:val="0"/>
          <w:numId w:val="1"/>
        </w:numPr>
        <w:tabs>
          <w:tab w:val="left" w:pos="-720"/>
          <w:tab w:val="left" w:pos="0"/>
          <w:tab w:val="left" w:pos="720"/>
        </w:tabs>
        <w:suppressAutoHyphens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Teoretyczne i praktyczne opanowanie metody kolorymetrycznej.</w:t>
      </w:r>
    </w:p>
    <w:p w:rsidR="00000000" w:rsidRDefault="00143D1B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000000" w:rsidRDefault="00143D1B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000000" w:rsidRDefault="00143D1B">
      <w:pPr>
        <w:pStyle w:val="Nagwek3"/>
        <w:spacing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Wprowadzenie</w:t>
      </w:r>
    </w:p>
    <w:p w:rsidR="00000000" w:rsidRDefault="00143D1B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Wiązka promieniowania o długoś</w:t>
      </w:r>
      <w:r>
        <w:rPr>
          <w:rFonts w:ascii="Times New Roman" w:hAnsi="Times New Roman"/>
          <w:spacing w:val="-3"/>
        </w:rPr>
        <w:t xml:space="preserve">ci </w:t>
      </w:r>
      <w:r>
        <w:rPr>
          <w:rFonts w:ascii="Times New Roman" w:hAnsi="Times New Roman"/>
          <w:spacing w:val="-3"/>
        </w:rPr>
        <w:sym w:font="Symbol" w:char="F06C"/>
      </w:r>
      <w:r>
        <w:rPr>
          <w:rFonts w:ascii="Times New Roman" w:hAnsi="Times New Roman"/>
          <w:spacing w:val="-3"/>
        </w:rPr>
        <w:t xml:space="preserve"> padająca na kuwetę napełnioną roztworem ulega osłabieniu na skutek:</w:t>
      </w:r>
    </w:p>
    <w:p w:rsidR="00000000" w:rsidRDefault="00143D1B">
      <w:pPr>
        <w:numPr>
          <w:ilvl w:val="0"/>
          <w:numId w:val="2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odbicia i rozproszenia na powierzchniach oddzielających poszczególne fazy (gaz-szkło, szkło-ciecz) i na cząsteczkach zawiesin,</w:t>
      </w:r>
    </w:p>
    <w:p w:rsidR="00000000" w:rsidRDefault="00143D1B">
      <w:pPr>
        <w:numPr>
          <w:ilvl w:val="0"/>
          <w:numId w:val="2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absorpcję promieniowania przez badany układ.</w:t>
      </w:r>
    </w:p>
    <w:p w:rsidR="00000000" w:rsidRDefault="00143D1B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Prowadząc p</w:t>
      </w:r>
      <w:r>
        <w:rPr>
          <w:rFonts w:ascii="Times New Roman" w:hAnsi="Times New Roman"/>
          <w:spacing w:val="-3"/>
        </w:rPr>
        <w:t>omiary absorpcji dąży się do eliminacji lub standaryzacji strat wywołanych przez odbicie i rozproszenie. Można tego dokonać mierząc natężenie wiązki promieniowania przechodzącego na przemian przez kuwetę z badanym roztworem i kuwetę z odnośnikiem, którym j</w:t>
      </w:r>
      <w:r>
        <w:rPr>
          <w:rFonts w:ascii="Times New Roman" w:hAnsi="Times New Roman"/>
          <w:spacing w:val="-3"/>
        </w:rPr>
        <w:t>est zwykle użyty do sporządzenia roztworu rozpuszczalnik.</w:t>
      </w:r>
    </w:p>
    <w:p w:rsidR="00000000" w:rsidRDefault="00143D1B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Absorpcja promieniowania przez roztwór jest opisywana ilościowo prawem Bouguera-Lamberta:</w:t>
      </w:r>
    </w:p>
    <w:p w:rsidR="00000000" w:rsidRDefault="00143D1B">
      <w:pPr>
        <w:tabs>
          <w:tab w:val="left" w:pos="-720"/>
        </w:tabs>
        <w:suppressAutoHyphens/>
        <w:jc w:val="right"/>
        <w:rPr>
          <w:rFonts w:ascii="Times New Roman" w:hAnsi="Times New Roman"/>
          <w:snapToGrid/>
          <w:spacing w:val="-3"/>
        </w:rPr>
      </w:pPr>
      <w:r>
        <w:rPr>
          <w:rFonts w:ascii="Times New Roman" w:hAnsi="Times New Roman"/>
          <w:snapToGrid/>
          <w:spacing w:val="-3"/>
          <w:position w:val="-12"/>
        </w:rPr>
        <w:object w:dxaOrig="9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18.75pt" o:ole="" fillcolor="window">
            <v:imagedata r:id="rId7" o:title=""/>
          </v:shape>
          <o:OLEObject Type="Embed" ProgID="Equation.3" ShapeID="_x0000_i1025" DrawAspect="Content" ObjectID="_1454396302" r:id="rId8"/>
        </w:object>
      </w:r>
      <w:r>
        <w:rPr>
          <w:rFonts w:ascii="Times New Roman" w:hAnsi="Times New Roman"/>
          <w:snapToGrid/>
          <w:spacing w:val="-3"/>
        </w:rPr>
        <w:tab/>
      </w:r>
      <w:r>
        <w:rPr>
          <w:rFonts w:ascii="Times New Roman" w:hAnsi="Times New Roman"/>
          <w:snapToGrid/>
          <w:spacing w:val="-3"/>
        </w:rPr>
        <w:tab/>
      </w:r>
      <w:r>
        <w:rPr>
          <w:rFonts w:ascii="Times New Roman" w:hAnsi="Times New Roman"/>
          <w:snapToGrid/>
          <w:spacing w:val="-3"/>
        </w:rPr>
        <w:tab/>
      </w:r>
      <w:r>
        <w:rPr>
          <w:rFonts w:ascii="Times New Roman" w:hAnsi="Times New Roman"/>
          <w:snapToGrid/>
          <w:spacing w:val="-3"/>
        </w:rPr>
        <w:tab/>
      </w:r>
      <w:r>
        <w:rPr>
          <w:rFonts w:ascii="Times New Roman" w:hAnsi="Times New Roman"/>
          <w:snapToGrid/>
          <w:spacing w:val="-3"/>
        </w:rPr>
        <w:tab/>
      </w:r>
      <w:r>
        <w:rPr>
          <w:rFonts w:ascii="Times New Roman" w:hAnsi="Times New Roman"/>
          <w:snapToGrid/>
          <w:spacing w:val="-3"/>
        </w:rPr>
        <w:tab/>
        <w:t>(1)</w:t>
      </w:r>
    </w:p>
    <w:p w:rsidR="00000000" w:rsidRDefault="00143D1B">
      <w:pPr>
        <w:tabs>
          <w:tab w:val="left" w:pos="-720"/>
        </w:tabs>
        <w:suppressAutoHyphens/>
        <w:jc w:val="right"/>
        <w:rPr>
          <w:rFonts w:ascii="Times New Roman" w:hAnsi="Times New Roman"/>
          <w:snapToGrid/>
          <w:spacing w:val="-3"/>
        </w:rPr>
      </w:pPr>
    </w:p>
    <w:p w:rsidR="00000000" w:rsidRDefault="00143D1B">
      <w:pPr>
        <w:tabs>
          <w:tab w:val="left" w:pos="-720"/>
        </w:tabs>
        <w:suppressAutoHyphens/>
        <w:jc w:val="both"/>
        <w:rPr>
          <w:rFonts w:ascii="Times New Roman" w:hAnsi="Times New Roman"/>
          <w:snapToGrid/>
          <w:spacing w:val="-3"/>
        </w:rPr>
      </w:pPr>
      <w:r>
        <w:rPr>
          <w:rFonts w:ascii="Times New Roman" w:hAnsi="Times New Roman"/>
          <w:snapToGrid/>
          <w:spacing w:val="-3"/>
        </w:rPr>
        <w:t xml:space="preserve">gdzie: </w:t>
      </w:r>
      <w:r>
        <w:rPr>
          <w:rFonts w:ascii="Times New Roman" w:hAnsi="Times New Roman"/>
          <w:i/>
          <w:spacing w:val="-3"/>
        </w:rPr>
        <w:t>I</w:t>
      </w:r>
      <w:r>
        <w:rPr>
          <w:rFonts w:ascii="Times New Roman" w:hAnsi="Times New Roman"/>
          <w:spacing w:val="-3"/>
        </w:rPr>
        <w:t xml:space="preserve"> – natężenie światła przechodzącego,</w:t>
      </w:r>
      <w:r>
        <w:rPr>
          <w:rFonts w:ascii="Times New Roman" w:hAnsi="Times New Roman"/>
          <w:i/>
          <w:spacing w:val="-3"/>
        </w:rPr>
        <w:t xml:space="preserve"> I</w:t>
      </w:r>
      <w:r>
        <w:rPr>
          <w:rFonts w:ascii="Times New Roman" w:hAnsi="Times New Roman"/>
          <w:i/>
          <w:spacing w:val="-3"/>
          <w:vertAlign w:val="subscript"/>
        </w:rPr>
        <w:t>0</w:t>
      </w:r>
      <w:r>
        <w:rPr>
          <w:rFonts w:ascii="Times New Roman" w:hAnsi="Times New Roman"/>
          <w:spacing w:val="-3"/>
        </w:rPr>
        <w:t xml:space="preserve"> – natężenie światła padają</w:t>
      </w:r>
      <w:r>
        <w:rPr>
          <w:rFonts w:ascii="Times New Roman" w:hAnsi="Times New Roman"/>
          <w:spacing w:val="-3"/>
        </w:rPr>
        <w:t xml:space="preserve">cego, </w:t>
      </w:r>
      <w:r>
        <w:rPr>
          <w:rFonts w:ascii="Times New Roman" w:hAnsi="Times New Roman"/>
          <w:i/>
          <w:snapToGrid/>
          <w:spacing w:val="-3"/>
        </w:rPr>
        <w:t xml:space="preserve">k </w:t>
      </w:r>
      <w:r>
        <w:rPr>
          <w:rFonts w:ascii="Times New Roman" w:hAnsi="Times New Roman"/>
          <w:snapToGrid/>
          <w:spacing w:val="-3"/>
        </w:rPr>
        <w:t>- naturalny współczynnik absorpcji,</w:t>
      </w:r>
      <w:r>
        <w:rPr>
          <w:rFonts w:ascii="Times New Roman" w:hAnsi="Times New Roman"/>
          <w:i/>
          <w:snapToGrid/>
          <w:spacing w:val="-3"/>
        </w:rPr>
        <w:t xml:space="preserve"> x </w:t>
      </w:r>
      <w:r>
        <w:rPr>
          <w:rFonts w:ascii="Times New Roman" w:hAnsi="Times New Roman"/>
          <w:snapToGrid/>
          <w:spacing w:val="-3"/>
        </w:rPr>
        <w:t>- grubość absorbującej warstwy roztworu,.</w:t>
      </w:r>
    </w:p>
    <w:p w:rsidR="00000000" w:rsidRDefault="00143D1B">
      <w:pPr>
        <w:tabs>
          <w:tab w:val="left" w:pos="-720"/>
        </w:tabs>
        <w:suppressAutoHyphens/>
        <w:jc w:val="both"/>
        <w:rPr>
          <w:rFonts w:ascii="Times New Roman" w:hAnsi="Times New Roman"/>
          <w:snapToGrid/>
          <w:spacing w:val="-3"/>
        </w:rPr>
      </w:pPr>
    </w:p>
    <w:p w:rsidR="00000000" w:rsidRDefault="00143D1B">
      <w:pPr>
        <w:tabs>
          <w:tab w:val="left" w:pos="-720"/>
        </w:tabs>
        <w:suppressAutoHyphens/>
        <w:jc w:val="both"/>
        <w:rPr>
          <w:rFonts w:ascii="Times New Roman" w:hAnsi="Times New Roman"/>
          <w:snapToGrid/>
          <w:spacing w:val="-3"/>
        </w:rPr>
      </w:pPr>
      <w:r>
        <w:rPr>
          <w:rFonts w:ascii="Times New Roman" w:hAnsi="Times New Roman"/>
          <w:snapToGrid/>
          <w:spacing w:val="-3"/>
        </w:rPr>
        <w:t xml:space="preserve">Przechodząc do logarytmów dziesiętnych i uwzględniając, że absorbują promieniowanie cząsteczki o stężeniu </w:t>
      </w:r>
      <w:r>
        <w:rPr>
          <w:rFonts w:ascii="Times New Roman" w:hAnsi="Times New Roman"/>
          <w:i/>
          <w:snapToGrid/>
          <w:spacing w:val="-3"/>
        </w:rPr>
        <w:t>c</w:t>
      </w:r>
      <w:r>
        <w:rPr>
          <w:rFonts w:ascii="Times New Roman" w:hAnsi="Times New Roman"/>
          <w:snapToGrid/>
          <w:spacing w:val="-3"/>
        </w:rPr>
        <w:t xml:space="preserve"> oraz przyjmując, że prawdopodobieństwo absorpcji fotonu prz</w:t>
      </w:r>
      <w:r>
        <w:rPr>
          <w:rFonts w:ascii="Times New Roman" w:hAnsi="Times New Roman"/>
          <w:snapToGrid/>
          <w:spacing w:val="-3"/>
        </w:rPr>
        <w:t>ez cząsteczkę zależy od grubości warstwy i stężenia cząsteczek w roztworze, otrzymuje się równanie Lamberta-Beera:</w:t>
      </w:r>
    </w:p>
    <w:p w:rsidR="00000000" w:rsidRDefault="00143D1B">
      <w:pPr>
        <w:tabs>
          <w:tab w:val="left" w:pos="-720"/>
        </w:tabs>
        <w:suppressAutoHyphens/>
        <w:jc w:val="right"/>
        <w:rPr>
          <w:rFonts w:ascii="Times New Roman" w:hAnsi="Times New Roman"/>
          <w:snapToGrid/>
          <w:spacing w:val="-3"/>
        </w:rPr>
      </w:pPr>
      <w:r>
        <w:rPr>
          <w:rFonts w:ascii="Times New Roman" w:hAnsi="Times New Roman"/>
          <w:snapToGrid/>
          <w:spacing w:val="-3"/>
          <w:position w:val="-24"/>
        </w:rPr>
        <w:object w:dxaOrig="2600" w:dyaOrig="620">
          <v:shape id="_x0000_i1026" type="#_x0000_t75" style="width:129.75pt;height:30.75pt" o:ole="" fillcolor="window">
            <v:imagedata r:id="rId9" o:title=""/>
          </v:shape>
          <o:OLEObject Type="Embed" ProgID="Equation.3" ShapeID="_x0000_i1026" DrawAspect="Content" ObjectID="_1454396303" r:id="rId10"/>
        </w:object>
      </w:r>
      <w:r>
        <w:rPr>
          <w:rFonts w:ascii="Times New Roman" w:hAnsi="Times New Roman"/>
          <w:snapToGrid/>
          <w:spacing w:val="-3"/>
        </w:rPr>
        <w:tab/>
      </w:r>
      <w:r>
        <w:rPr>
          <w:rFonts w:ascii="Times New Roman" w:hAnsi="Times New Roman"/>
          <w:snapToGrid/>
          <w:spacing w:val="-3"/>
        </w:rPr>
        <w:tab/>
      </w:r>
      <w:r>
        <w:rPr>
          <w:rFonts w:ascii="Times New Roman" w:hAnsi="Times New Roman"/>
          <w:snapToGrid/>
          <w:spacing w:val="-3"/>
        </w:rPr>
        <w:tab/>
      </w:r>
      <w:r>
        <w:rPr>
          <w:rFonts w:ascii="Times New Roman" w:hAnsi="Times New Roman"/>
          <w:snapToGrid/>
          <w:spacing w:val="-3"/>
        </w:rPr>
        <w:tab/>
      </w:r>
      <w:r>
        <w:rPr>
          <w:rFonts w:ascii="Times New Roman" w:hAnsi="Times New Roman"/>
          <w:snapToGrid/>
          <w:spacing w:val="-3"/>
        </w:rPr>
        <w:tab/>
        <w:t>(2)</w:t>
      </w:r>
    </w:p>
    <w:p w:rsidR="00000000" w:rsidRDefault="00143D1B">
      <w:pPr>
        <w:tabs>
          <w:tab w:val="left" w:pos="-720"/>
        </w:tabs>
        <w:suppressAutoHyphens/>
        <w:jc w:val="right"/>
        <w:rPr>
          <w:rFonts w:ascii="Times New Roman" w:hAnsi="Times New Roman"/>
          <w:snapToGrid/>
          <w:spacing w:val="-3"/>
        </w:rPr>
      </w:pPr>
    </w:p>
    <w:p w:rsidR="00000000" w:rsidRDefault="00143D1B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gdzie: </w:t>
      </w:r>
      <w:r>
        <w:rPr>
          <w:rFonts w:ascii="Times New Roman" w:hAnsi="Times New Roman"/>
          <w:i/>
          <w:spacing w:val="-3"/>
        </w:rPr>
        <w:t>E=log(I</w:t>
      </w:r>
      <w:r>
        <w:rPr>
          <w:rFonts w:ascii="Times New Roman" w:hAnsi="Times New Roman"/>
          <w:i/>
          <w:spacing w:val="-3"/>
          <w:vertAlign w:val="subscript"/>
        </w:rPr>
        <w:t>0</w:t>
      </w:r>
      <w:r>
        <w:rPr>
          <w:rFonts w:ascii="Times New Roman" w:hAnsi="Times New Roman"/>
          <w:i/>
          <w:spacing w:val="-3"/>
        </w:rPr>
        <w:t xml:space="preserve">/I) </w:t>
      </w:r>
      <w:r>
        <w:rPr>
          <w:rFonts w:ascii="Times New Roman" w:hAnsi="Times New Roman"/>
          <w:spacing w:val="-3"/>
        </w:rPr>
        <w:t xml:space="preserve">– ekstynkcja (absorbancja), </w:t>
      </w:r>
      <w:r>
        <w:rPr>
          <w:rFonts w:ascii="Times New Roman" w:hAnsi="Times New Roman"/>
          <w:i/>
          <w:spacing w:val="-3"/>
        </w:rPr>
        <w:sym w:font="WP Greek Century" w:char="F067"/>
      </w:r>
      <w:r>
        <w:rPr>
          <w:rFonts w:ascii="Times New Roman" w:hAnsi="Times New Roman"/>
          <w:i/>
          <w:spacing w:val="-3"/>
        </w:rPr>
        <w:t xml:space="preserve"> = E/xc </w:t>
      </w:r>
      <w:r>
        <w:rPr>
          <w:rFonts w:ascii="Times New Roman" w:hAnsi="Times New Roman"/>
          <w:spacing w:val="-3"/>
        </w:rPr>
        <w:t>– molowy współczynnik ekstynkcji [dm</w:t>
      </w:r>
      <w:r>
        <w:rPr>
          <w:rFonts w:ascii="Times New Roman" w:hAnsi="Times New Roman"/>
          <w:spacing w:val="-3"/>
          <w:vertAlign w:val="superscript"/>
        </w:rPr>
        <w:t>3</w:t>
      </w:r>
      <w:r>
        <w:rPr>
          <w:rFonts w:ascii="Times New Roman" w:hAnsi="Times New Roman"/>
          <w:spacing w:val="-3"/>
        </w:rPr>
        <w:t xml:space="preserve">/(mol cm)], </w:t>
      </w:r>
      <w:r>
        <w:rPr>
          <w:rFonts w:ascii="Times New Roman" w:hAnsi="Times New Roman"/>
          <w:i/>
          <w:spacing w:val="-3"/>
        </w:rPr>
        <w:t>c</w:t>
      </w:r>
      <w:r>
        <w:rPr>
          <w:rFonts w:ascii="Times New Roman" w:hAnsi="Times New Roman"/>
          <w:spacing w:val="-3"/>
        </w:rPr>
        <w:t xml:space="preserve"> –</w:t>
      </w:r>
      <w:r>
        <w:rPr>
          <w:rFonts w:ascii="Times New Roman" w:hAnsi="Times New Roman"/>
          <w:spacing w:val="-3"/>
        </w:rPr>
        <w:t xml:space="preserve"> stężenie [mol/ dm</w:t>
      </w:r>
      <w:r>
        <w:rPr>
          <w:rFonts w:ascii="Times New Roman" w:hAnsi="Times New Roman"/>
          <w:spacing w:val="-3"/>
          <w:vertAlign w:val="superscript"/>
        </w:rPr>
        <w:t>3</w:t>
      </w:r>
      <w:r>
        <w:rPr>
          <w:rFonts w:ascii="Times New Roman" w:hAnsi="Times New Roman"/>
          <w:spacing w:val="-3"/>
        </w:rPr>
        <w:t xml:space="preserve">], </w:t>
      </w:r>
      <w:r>
        <w:rPr>
          <w:rFonts w:ascii="Times New Roman" w:hAnsi="Times New Roman"/>
          <w:i/>
          <w:spacing w:val="-3"/>
        </w:rPr>
        <w:t>x</w:t>
      </w:r>
      <w:r>
        <w:rPr>
          <w:rFonts w:ascii="Times New Roman" w:hAnsi="Times New Roman"/>
          <w:spacing w:val="-3"/>
        </w:rPr>
        <w:t xml:space="preserve"> – grubość warstwy roztworu [cm].</w:t>
      </w:r>
    </w:p>
    <w:p w:rsidR="00000000" w:rsidRDefault="00143D1B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000000" w:rsidRDefault="00143D1B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Stała </w:t>
      </w:r>
      <w:r>
        <w:rPr>
          <w:rFonts w:ascii="Times New Roman" w:hAnsi="Times New Roman"/>
          <w:i/>
          <w:spacing w:val="-3"/>
        </w:rPr>
        <w:sym w:font="WP Greek Century" w:char="F067"/>
      </w:r>
      <w:r>
        <w:rPr>
          <w:rFonts w:ascii="Times New Roman" w:hAnsi="Times New Roman"/>
          <w:spacing w:val="-3"/>
        </w:rPr>
        <w:t xml:space="preserve">  jest wielkością charakterystyczną dla danej substancji, zależną od długości fali </w:t>
      </w:r>
      <w:r>
        <w:rPr>
          <w:rFonts w:ascii="Times New Roman" w:hAnsi="Times New Roman"/>
          <w:spacing w:val="-3"/>
        </w:rPr>
        <w:sym w:font="Symbol" w:char="F06C"/>
      </w:r>
      <w:r>
        <w:rPr>
          <w:rFonts w:ascii="Times New Roman" w:hAnsi="Times New Roman"/>
          <w:spacing w:val="-3"/>
        </w:rPr>
        <w:t>.</w:t>
      </w:r>
    </w:p>
    <w:p w:rsidR="00000000" w:rsidRDefault="00143D1B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Stosunek </w:t>
      </w:r>
      <w:r>
        <w:rPr>
          <w:rFonts w:ascii="Times New Roman" w:hAnsi="Times New Roman"/>
          <w:i/>
          <w:spacing w:val="-3"/>
        </w:rPr>
        <w:t>I/I</w:t>
      </w:r>
      <w:r>
        <w:rPr>
          <w:rFonts w:ascii="Times New Roman" w:hAnsi="Times New Roman"/>
          <w:i/>
          <w:spacing w:val="-3"/>
        </w:rPr>
        <w:softHyphen/>
      </w:r>
      <w:r>
        <w:rPr>
          <w:rFonts w:ascii="Times New Roman" w:hAnsi="Times New Roman"/>
          <w:i/>
          <w:spacing w:val="-3"/>
          <w:vertAlign w:val="subscript"/>
        </w:rPr>
        <w:t>0</w:t>
      </w:r>
      <w:r>
        <w:rPr>
          <w:rFonts w:ascii="Times New Roman" w:hAnsi="Times New Roman"/>
          <w:spacing w:val="-3"/>
        </w:rPr>
        <w:t xml:space="preserve"> zwany jest przepuszczalnością, transmisją lub wartością transmisji i jest zwykle podawany </w:t>
      </w:r>
      <w:r>
        <w:rPr>
          <w:rFonts w:ascii="Times New Roman" w:hAnsi="Times New Roman"/>
          <w:spacing w:val="-3"/>
        </w:rPr>
        <w:t>w procentach.</w:t>
      </w:r>
    </w:p>
    <w:p w:rsidR="00000000" w:rsidRDefault="00143D1B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>Na prawie Lamberta-Beera opiera się metoda oznaczania stężeń substancji rozpuszczalnych w roztworach. Zagadnieniem tym zajmuje się kolorymetria. Kolorymetrycznie można oznaczać stężenia substancji barwnych, porównując natężenie ich barwy z b</w:t>
      </w:r>
      <w:r>
        <w:rPr>
          <w:rFonts w:ascii="Times New Roman" w:hAnsi="Times New Roman"/>
          <w:spacing w:val="-3"/>
        </w:rPr>
        <w:t xml:space="preserve">arwą substancji wzorcowej o znanym stężeniu. Zasada pomiarów stężenia przy użyciu kolorymetrów polega na porównaniu zdolności absorpcyjnej badanego roztworu z roztworem wzorcowym (kolorymetry Duboscqa i Wollfa). </w:t>
      </w:r>
    </w:p>
    <w:p w:rsidR="00000000" w:rsidRDefault="00143D1B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lastRenderedPageBreak/>
        <w:tab/>
        <w:t>Kolorymetrycznie można oznaczać pH roztwor</w:t>
      </w:r>
      <w:r>
        <w:rPr>
          <w:rFonts w:ascii="Times New Roman" w:hAnsi="Times New Roman"/>
          <w:spacing w:val="-3"/>
        </w:rPr>
        <w:t xml:space="preserve">ów przez zastosowanie wskaźników kwasowo-zasadowych. Rozważmy indykator, będący słabym kwasem organicznym </w:t>
      </w:r>
      <w:r>
        <w:rPr>
          <w:rFonts w:ascii="Times New Roman" w:hAnsi="Times New Roman"/>
          <w:i/>
          <w:spacing w:val="-3"/>
        </w:rPr>
        <w:t>HIn</w:t>
      </w:r>
      <w:r>
        <w:rPr>
          <w:rFonts w:ascii="Times New Roman" w:hAnsi="Times New Roman"/>
          <w:spacing w:val="-3"/>
        </w:rPr>
        <w:t>, dysocjujący wg równania:</w:t>
      </w:r>
    </w:p>
    <w:p w:rsidR="00000000" w:rsidRDefault="00143D1B">
      <w:pPr>
        <w:tabs>
          <w:tab w:val="left" w:pos="-720"/>
        </w:tabs>
        <w:suppressAutoHyphens/>
        <w:jc w:val="right"/>
        <w:rPr>
          <w:rFonts w:ascii="Times New Roman" w:hAnsi="Times New Roman"/>
          <w:noProof/>
          <w:snapToGrid/>
          <w:spacing w:val="-3"/>
        </w:rPr>
      </w:pPr>
      <w:r>
        <w:rPr>
          <w:rFonts w:ascii="Times New Roman" w:hAnsi="Times New Roman"/>
          <w:noProof/>
          <w:snapToGrid/>
          <w:spacing w:val="-3"/>
          <w:position w:val="-6"/>
        </w:rPr>
        <w:object w:dxaOrig="1600" w:dyaOrig="320">
          <v:shape id="_x0000_i1027" type="#_x0000_t75" style="width:80.25pt;height:15.75pt" o:ole="" fillcolor="window">
            <v:imagedata r:id="rId11" o:title=""/>
          </v:shape>
          <o:OLEObject Type="Embed" ProgID="Equation.3" ShapeID="_x0000_i1027" DrawAspect="Content" ObjectID="_1454396304" r:id="rId12"/>
        </w:object>
      </w:r>
      <w:r>
        <w:rPr>
          <w:rFonts w:ascii="Times New Roman" w:hAnsi="Times New Roman"/>
          <w:noProof/>
          <w:snapToGrid/>
          <w:spacing w:val="-3"/>
        </w:rPr>
        <w:tab/>
      </w:r>
      <w:r>
        <w:rPr>
          <w:rFonts w:ascii="Times New Roman" w:hAnsi="Times New Roman"/>
          <w:noProof/>
          <w:snapToGrid/>
          <w:spacing w:val="-3"/>
        </w:rPr>
        <w:tab/>
      </w:r>
      <w:r>
        <w:rPr>
          <w:rFonts w:ascii="Times New Roman" w:hAnsi="Times New Roman"/>
          <w:noProof/>
          <w:snapToGrid/>
          <w:spacing w:val="-3"/>
        </w:rPr>
        <w:tab/>
      </w:r>
      <w:r>
        <w:rPr>
          <w:rFonts w:ascii="Times New Roman" w:hAnsi="Times New Roman"/>
          <w:noProof/>
          <w:snapToGrid/>
          <w:spacing w:val="-3"/>
        </w:rPr>
        <w:tab/>
      </w:r>
      <w:r>
        <w:rPr>
          <w:rFonts w:ascii="Times New Roman" w:hAnsi="Times New Roman"/>
          <w:noProof/>
          <w:snapToGrid/>
          <w:spacing w:val="-3"/>
        </w:rPr>
        <w:tab/>
        <w:t>(3)</w:t>
      </w:r>
    </w:p>
    <w:p w:rsidR="00000000" w:rsidRDefault="00143D1B">
      <w:pPr>
        <w:tabs>
          <w:tab w:val="left" w:pos="-720"/>
        </w:tabs>
        <w:suppressAutoHyphens/>
        <w:jc w:val="right"/>
        <w:rPr>
          <w:rFonts w:ascii="Times New Roman" w:hAnsi="Times New Roman"/>
          <w:spacing w:val="-3"/>
        </w:rPr>
      </w:pPr>
    </w:p>
    <w:p w:rsidR="00000000" w:rsidRDefault="00143D1B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Ponieważ rozważany kwas jest indykatorem, jego postać zdysocjowana </w:t>
      </w:r>
      <w:r>
        <w:rPr>
          <w:rFonts w:ascii="Times New Roman" w:hAnsi="Times New Roman"/>
          <w:i/>
          <w:spacing w:val="-3"/>
        </w:rPr>
        <w:t>In</w:t>
      </w:r>
      <w:r>
        <w:rPr>
          <w:rFonts w:ascii="Times New Roman" w:hAnsi="Times New Roman"/>
          <w:spacing w:val="-3"/>
          <w:vertAlign w:val="superscript"/>
        </w:rPr>
        <w:t>–</w:t>
      </w:r>
      <w:r>
        <w:rPr>
          <w:rFonts w:ascii="Times New Roman" w:hAnsi="Times New Roman"/>
          <w:spacing w:val="-3"/>
        </w:rPr>
        <w:t xml:space="preserve"> jest inaczej zab</w:t>
      </w:r>
      <w:r>
        <w:rPr>
          <w:rFonts w:ascii="Times New Roman" w:hAnsi="Times New Roman"/>
          <w:spacing w:val="-3"/>
        </w:rPr>
        <w:t xml:space="preserve">arwiona niż postać niezdysocjowana. Widmo absorpcyjne indykatora w środowisku kwaśnym (a więc roztworu, w którym indykator występuje prawie całkowicie w postaci niezdysocjowanej </w:t>
      </w:r>
      <w:r>
        <w:rPr>
          <w:rFonts w:ascii="Times New Roman" w:hAnsi="Times New Roman"/>
          <w:i/>
          <w:spacing w:val="-3"/>
        </w:rPr>
        <w:t>HIn</w:t>
      </w:r>
      <w:r>
        <w:rPr>
          <w:rFonts w:ascii="Times New Roman" w:hAnsi="Times New Roman"/>
          <w:spacing w:val="-3"/>
        </w:rPr>
        <w:t>) przedstawia krzywa 1 na rys.1.</w:t>
      </w:r>
    </w:p>
    <w:p w:rsidR="00000000" w:rsidRDefault="00143D1B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Jeśli równowaga dysocjacji przesuwa się w </w:t>
      </w:r>
      <w:r>
        <w:rPr>
          <w:rFonts w:ascii="Times New Roman" w:hAnsi="Times New Roman"/>
          <w:spacing w:val="-3"/>
        </w:rPr>
        <w:t xml:space="preserve">prawo, np. po dodaniu do roztworu zasady, to widmo absorpcyjne zmienia się jak krzywe 2 i 3 na rys.1. Przeprowadzając pomiary ekstynkcji przy długości fali odpowiadającej maksimum absorpcji postaci niezdysocjowanej możemy śledzić zmianę stężenia </w:t>
      </w:r>
      <w:r>
        <w:rPr>
          <w:rFonts w:ascii="Times New Roman" w:hAnsi="Times New Roman"/>
          <w:i/>
          <w:spacing w:val="-3"/>
        </w:rPr>
        <w:t>HIn</w:t>
      </w:r>
      <w:r>
        <w:rPr>
          <w:rFonts w:ascii="Times New Roman" w:hAnsi="Times New Roman"/>
          <w:spacing w:val="-3"/>
        </w:rPr>
        <w:t>, które</w:t>
      </w:r>
      <w:r>
        <w:rPr>
          <w:rFonts w:ascii="Times New Roman" w:hAnsi="Times New Roman"/>
          <w:spacing w:val="-3"/>
        </w:rPr>
        <w:t xml:space="preserve"> zależy od stężenia jonów wodorowych w roztworze. Stała dysocjacji indykatora wyraża się wzorem:</w:t>
      </w:r>
      <w:r>
        <w:rPr>
          <w:rFonts w:ascii="Times New Roman" w:hAnsi="Times New Roman"/>
          <w:noProof/>
          <w:snapToGrid/>
          <w:spacing w:val="-3"/>
        </w:rPr>
        <w:t xml:space="preserve"> </w:t>
      </w:r>
    </w:p>
    <w:p w:rsidR="00000000" w:rsidRDefault="00143D1B">
      <w:pPr>
        <w:tabs>
          <w:tab w:val="left" w:pos="-720"/>
        </w:tabs>
        <w:suppressAutoHyphens/>
        <w:jc w:val="right"/>
        <w:rPr>
          <w:rFonts w:ascii="Times New Roman" w:hAnsi="Times New Roman"/>
          <w:vanish/>
          <w:spacing w:val="-3"/>
        </w:rPr>
      </w:pPr>
      <w:r>
        <w:rPr>
          <w:rFonts w:ascii="Times New Roman" w:hAnsi="Times New Roman"/>
          <w:noProof/>
          <w:snapToGrid/>
          <w:spacing w:val="-3"/>
          <w:position w:val="-28"/>
        </w:rPr>
        <w:object w:dxaOrig="1880" w:dyaOrig="700">
          <v:shape id="_x0000_i1028" type="#_x0000_t75" style="width:93.75pt;height:35.25pt" o:ole="" fillcolor="window">
            <v:imagedata r:id="rId13" o:title=""/>
          </v:shape>
          <o:OLEObject Type="Embed" ProgID="Equation.3" ShapeID="_x0000_i1028" DrawAspect="Content" ObjectID="_1454396305" r:id="rId14"/>
        </w:object>
      </w:r>
      <w:r>
        <w:rPr>
          <w:rFonts w:ascii="Times New Roman" w:hAnsi="Times New Roman"/>
          <w:noProof/>
          <w:snapToGrid/>
          <w:spacing w:val="-3"/>
        </w:rPr>
        <w:tab/>
      </w:r>
      <w:r>
        <w:rPr>
          <w:rFonts w:ascii="Times New Roman" w:hAnsi="Times New Roman"/>
          <w:noProof/>
          <w:snapToGrid/>
          <w:spacing w:val="-3"/>
        </w:rPr>
        <w:tab/>
      </w:r>
      <w:r>
        <w:rPr>
          <w:rFonts w:ascii="Times New Roman" w:hAnsi="Times New Roman"/>
          <w:noProof/>
          <w:snapToGrid/>
          <w:spacing w:val="-3"/>
        </w:rPr>
        <w:tab/>
      </w:r>
      <w:r>
        <w:rPr>
          <w:rFonts w:ascii="Times New Roman" w:hAnsi="Times New Roman"/>
          <w:noProof/>
          <w:snapToGrid/>
          <w:spacing w:val="-3"/>
        </w:rPr>
        <w:tab/>
      </w:r>
      <w:r>
        <w:rPr>
          <w:rFonts w:ascii="Times New Roman" w:hAnsi="Times New Roman"/>
          <w:noProof/>
          <w:snapToGrid/>
          <w:spacing w:val="-3"/>
        </w:rPr>
        <w:tab/>
      </w:r>
      <w:r>
        <w:rPr>
          <w:rFonts w:ascii="Times New Roman" w:hAnsi="Times New Roman"/>
          <w:noProof/>
          <w:snapToGrid/>
          <w:spacing w:val="-3"/>
        </w:rPr>
        <w:tab/>
        <w:t>(4)</w:t>
      </w:r>
    </w:p>
    <w:p w:rsidR="00000000" w:rsidRDefault="00143D1B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000000" w:rsidRDefault="00143D1B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000000" w:rsidRDefault="00143D1B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Przyjmując, że stężenie molowe indykatora w roztworze wynosi </w:t>
      </w:r>
      <w:r>
        <w:rPr>
          <w:rFonts w:ascii="Times New Roman" w:hAnsi="Times New Roman"/>
          <w:i/>
          <w:spacing w:val="-3"/>
        </w:rPr>
        <w:t>c</w:t>
      </w:r>
      <w:r>
        <w:rPr>
          <w:rFonts w:ascii="Times New Roman" w:hAnsi="Times New Roman"/>
          <w:i/>
          <w:spacing w:val="-3"/>
          <w:vertAlign w:val="superscript"/>
        </w:rPr>
        <w:softHyphen/>
      </w:r>
      <w:r>
        <w:rPr>
          <w:rFonts w:ascii="Times New Roman" w:hAnsi="Times New Roman"/>
          <w:i/>
          <w:spacing w:val="-3"/>
          <w:vertAlign w:val="superscript"/>
        </w:rPr>
        <w:softHyphen/>
      </w:r>
      <w:r>
        <w:rPr>
          <w:rFonts w:ascii="Times New Roman" w:hAnsi="Times New Roman"/>
          <w:i/>
          <w:spacing w:val="-3"/>
          <w:vertAlign w:val="subscript"/>
        </w:rPr>
        <w:t>ind</w:t>
      </w:r>
      <w:r>
        <w:rPr>
          <w:rFonts w:ascii="Times New Roman" w:hAnsi="Times New Roman"/>
          <w:spacing w:val="-3"/>
        </w:rPr>
        <w:t>, a [</w:t>
      </w:r>
      <w:r>
        <w:rPr>
          <w:rFonts w:ascii="Times New Roman" w:hAnsi="Times New Roman"/>
          <w:i/>
          <w:spacing w:val="-3"/>
        </w:rPr>
        <w:t>H</w:t>
      </w:r>
      <w:r>
        <w:rPr>
          <w:rFonts w:ascii="Times New Roman" w:hAnsi="Times New Roman"/>
          <w:i/>
          <w:spacing w:val="-3"/>
        </w:rPr>
        <w:softHyphen/>
      </w:r>
      <w:r>
        <w:rPr>
          <w:rFonts w:ascii="Times New Roman" w:hAnsi="Times New Roman"/>
          <w:i/>
          <w:spacing w:val="-3"/>
        </w:rPr>
        <w:softHyphen/>
      </w:r>
      <w:r>
        <w:rPr>
          <w:rFonts w:ascii="Times New Roman" w:hAnsi="Times New Roman"/>
          <w:i/>
          <w:spacing w:val="-3"/>
          <w:vertAlign w:val="superscript"/>
        </w:rPr>
        <w:t>+</w:t>
      </w:r>
      <w:r>
        <w:rPr>
          <w:rFonts w:ascii="Times New Roman" w:hAnsi="Times New Roman"/>
          <w:spacing w:val="-3"/>
        </w:rPr>
        <w:t>], [</w:t>
      </w:r>
      <w:r>
        <w:rPr>
          <w:rFonts w:ascii="Times New Roman" w:hAnsi="Times New Roman"/>
          <w:i/>
          <w:spacing w:val="-3"/>
        </w:rPr>
        <w:t>In</w:t>
      </w:r>
      <w:r>
        <w:rPr>
          <w:rFonts w:ascii="Times New Roman" w:hAnsi="Times New Roman"/>
          <w:spacing w:val="-3"/>
          <w:vertAlign w:val="superscript"/>
        </w:rPr>
        <w:t>–</w:t>
      </w:r>
      <w:r>
        <w:rPr>
          <w:rFonts w:ascii="Times New Roman" w:hAnsi="Times New Roman"/>
          <w:spacing w:val="-3"/>
        </w:rPr>
        <w:t>] i [</w:t>
      </w:r>
      <w:r>
        <w:rPr>
          <w:rFonts w:ascii="Times New Roman" w:hAnsi="Times New Roman"/>
          <w:i/>
          <w:spacing w:val="-3"/>
        </w:rPr>
        <w:t>HIn</w:t>
      </w:r>
      <w:r>
        <w:rPr>
          <w:rFonts w:ascii="Times New Roman" w:hAnsi="Times New Roman"/>
          <w:spacing w:val="-3"/>
        </w:rPr>
        <w:t>] oznaczają odpowiednio równowag</w:t>
      </w:r>
      <w:r>
        <w:rPr>
          <w:rFonts w:ascii="Times New Roman" w:hAnsi="Times New Roman"/>
          <w:spacing w:val="-3"/>
        </w:rPr>
        <w:t>owe stężenie jonów i niezdysocjowanych cząsteczek indykatora, znajdujemy związek pomiędzy stężeniem [</w:t>
      </w:r>
      <w:r>
        <w:rPr>
          <w:rFonts w:ascii="Times New Roman" w:hAnsi="Times New Roman"/>
          <w:i/>
          <w:spacing w:val="-3"/>
        </w:rPr>
        <w:t>HIn</w:t>
      </w:r>
      <w:r>
        <w:rPr>
          <w:rFonts w:ascii="Times New Roman" w:hAnsi="Times New Roman"/>
          <w:spacing w:val="-3"/>
        </w:rPr>
        <w:t>] i [</w:t>
      </w:r>
      <w:r>
        <w:rPr>
          <w:rFonts w:ascii="Times New Roman" w:hAnsi="Times New Roman"/>
          <w:i/>
          <w:spacing w:val="-3"/>
        </w:rPr>
        <w:t>H</w:t>
      </w:r>
      <w:r>
        <w:rPr>
          <w:rFonts w:ascii="Times New Roman" w:hAnsi="Times New Roman"/>
          <w:i/>
          <w:spacing w:val="-3"/>
        </w:rPr>
        <w:softHyphen/>
      </w:r>
      <w:r>
        <w:rPr>
          <w:rFonts w:ascii="Times New Roman" w:hAnsi="Times New Roman"/>
          <w:i/>
          <w:spacing w:val="-3"/>
        </w:rPr>
        <w:softHyphen/>
      </w:r>
      <w:r>
        <w:rPr>
          <w:rFonts w:ascii="Times New Roman" w:hAnsi="Times New Roman"/>
          <w:i/>
          <w:spacing w:val="-3"/>
          <w:vertAlign w:val="superscript"/>
        </w:rPr>
        <w:t>+</w:t>
      </w:r>
      <w:r>
        <w:rPr>
          <w:rFonts w:ascii="Times New Roman" w:hAnsi="Times New Roman"/>
          <w:spacing w:val="-3"/>
        </w:rPr>
        <w:t>]</w:t>
      </w:r>
      <w:r>
        <w:rPr>
          <w:rFonts w:ascii="Times New Roman" w:hAnsi="Times New Roman"/>
          <w:i/>
          <w:spacing w:val="-3"/>
        </w:rPr>
        <w:t>.</w:t>
      </w:r>
    </w:p>
    <w:p w:rsidR="00000000" w:rsidRDefault="00143D1B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000000" w:rsidRDefault="00143D1B">
      <w:pPr>
        <w:tabs>
          <w:tab w:val="left" w:pos="-720"/>
        </w:tabs>
        <w:suppressAutoHyphens/>
        <w:jc w:val="right"/>
        <w:rPr>
          <w:rFonts w:ascii="Times New Roman" w:hAnsi="Times New Roman"/>
          <w:spacing w:val="-3"/>
        </w:rPr>
      </w:pPr>
      <w:r>
        <w:rPr>
          <w:rFonts w:ascii="Times New Roman" w:hAnsi="Times New Roman"/>
          <w:noProof/>
          <w:snapToGrid/>
          <w:spacing w:val="-3"/>
          <w:position w:val="-12"/>
        </w:rPr>
        <w:object w:dxaOrig="5340" w:dyaOrig="380">
          <v:shape id="_x0000_i1029" type="#_x0000_t75" style="width:267pt;height:18.75pt" o:ole="" fillcolor="window">
            <v:imagedata r:id="rId15" o:title=""/>
          </v:shape>
          <o:OLEObject Type="Embed" ProgID="Equation.3" ShapeID="_x0000_i1029" DrawAspect="Content" ObjectID="_1454396306" r:id="rId16"/>
        </w:object>
      </w:r>
      <w:r>
        <w:rPr>
          <w:rFonts w:ascii="Times New Roman" w:hAnsi="Times New Roman"/>
          <w:noProof/>
          <w:snapToGrid/>
          <w:spacing w:val="-3"/>
        </w:rPr>
        <w:tab/>
      </w:r>
      <w:r>
        <w:rPr>
          <w:rFonts w:ascii="Times New Roman" w:hAnsi="Times New Roman"/>
          <w:noProof/>
          <w:snapToGrid/>
          <w:spacing w:val="-3"/>
        </w:rPr>
        <w:tab/>
      </w:r>
      <w:r>
        <w:rPr>
          <w:rFonts w:ascii="Times New Roman" w:hAnsi="Times New Roman"/>
          <w:noProof/>
          <w:snapToGrid/>
          <w:spacing w:val="-3"/>
        </w:rPr>
        <w:tab/>
        <w:t xml:space="preserve"> (5)</w:t>
      </w:r>
    </w:p>
    <w:p w:rsidR="00000000" w:rsidRDefault="00143D1B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000000" w:rsidRDefault="00143D1B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000000" w:rsidRDefault="00143D1B">
      <w:pPr>
        <w:tabs>
          <w:tab w:val="left" w:pos="-720"/>
        </w:tabs>
        <w:suppressAutoHyphens/>
        <w:jc w:val="right"/>
        <w:rPr>
          <w:rFonts w:ascii="Times New Roman" w:hAnsi="Times New Roman"/>
          <w:spacing w:val="-3"/>
        </w:rPr>
      </w:pPr>
      <w:r>
        <w:rPr>
          <w:rFonts w:ascii="Times New Roman" w:hAnsi="Times New Roman"/>
          <w:noProof/>
          <w:snapToGrid/>
          <w:spacing w:val="-3"/>
          <w:position w:val="-30"/>
        </w:rPr>
        <w:object w:dxaOrig="2020" w:dyaOrig="720">
          <v:shape id="_x0000_i1030" type="#_x0000_t75" style="width:101.25pt;height:36pt" o:ole="" fillcolor="window">
            <v:imagedata r:id="rId17" o:title=""/>
          </v:shape>
          <o:OLEObject Type="Embed" ProgID="Equation.3" ShapeID="_x0000_i1030" DrawAspect="Content" ObjectID="_1454396307" r:id="rId18"/>
        </w:object>
      </w:r>
      <w:r>
        <w:rPr>
          <w:rFonts w:ascii="Times New Roman" w:hAnsi="Times New Roman"/>
          <w:noProof/>
          <w:snapToGrid/>
          <w:spacing w:val="-3"/>
        </w:rPr>
        <w:tab/>
      </w:r>
      <w:r>
        <w:rPr>
          <w:rFonts w:ascii="Times New Roman" w:hAnsi="Times New Roman"/>
          <w:noProof/>
          <w:snapToGrid/>
          <w:spacing w:val="-3"/>
        </w:rPr>
        <w:tab/>
      </w:r>
      <w:r>
        <w:rPr>
          <w:rFonts w:ascii="Times New Roman" w:hAnsi="Times New Roman"/>
          <w:noProof/>
          <w:snapToGrid/>
          <w:spacing w:val="-3"/>
        </w:rPr>
        <w:tab/>
      </w:r>
      <w:r>
        <w:rPr>
          <w:rFonts w:ascii="Times New Roman" w:hAnsi="Times New Roman"/>
          <w:noProof/>
          <w:snapToGrid/>
          <w:spacing w:val="-3"/>
        </w:rPr>
        <w:tab/>
      </w:r>
      <w:r>
        <w:rPr>
          <w:rFonts w:ascii="Times New Roman" w:hAnsi="Times New Roman"/>
          <w:noProof/>
          <w:snapToGrid/>
          <w:spacing w:val="-3"/>
        </w:rPr>
        <w:tab/>
      </w:r>
      <w:r>
        <w:rPr>
          <w:rFonts w:ascii="Times New Roman" w:hAnsi="Times New Roman"/>
          <w:noProof/>
          <w:snapToGrid/>
          <w:spacing w:val="-3"/>
        </w:rPr>
        <w:tab/>
        <w:t>(6)</w:t>
      </w:r>
    </w:p>
    <w:p w:rsidR="00000000" w:rsidRDefault="00143D1B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000000" w:rsidRDefault="00143D1B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000000" w:rsidRDefault="00143D1B">
      <w:pPr>
        <w:tabs>
          <w:tab w:val="left" w:pos="-720"/>
        </w:tabs>
        <w:suppressAutoHyphens/>
        <w:jc w:val="right"/>
        <w:rPr>
          <w:rFonts w:ascii="Times New Roman" w:hAnsi="Times New Roman"/>
          <w:spacing w:val="-3"/>
        </w:rPr>
      </w:pPr>
      <w:r>
        <w:rPr>
          <w:rFonts w:ascii="Times New Roman" w:hAnsi="Times New Roman"/>
          <w:noProof/>
          <w:snapToGrid/>
          <w:spacing w:val="-3"/>
          <w:position w:val="-30"/>
        </w:rPr>
        <w:object w:dxaOrig="2500" w:dyaOrig="700">
          <v:shape id="_x0000_i1031" type="#_x0000_t75" style="width:125.25pt;height:35.25pt" o:ole="" fillcolor="window">
            <v:imagedata r:id="rId19" o:title=""/>
          </v:shape>
          <o:OLEObject Type="Embed" ProgID="Equation.3" ShapeID="_x0000_i1031" DrawAspect="Content" ObjectID="_1454396308" r:id="rId20"/>
        </w:object>
      </w:r>
      <w:r>
        <w:rPr>
          <w:rFonts w:ascii="Times New Roman" w:hAnsi="Times New Roman"/>
          <w:noProof/>
          <w:snapToGrid/>
          <w:spacing w:val="-3"/>
        </w:rPr>
        <w:tab/>
      </w:r>
      <w:r>
        <w:rPr>
          <w:rFonts w:ascii="Times New Roman" w:hAnsi="Times New Roman"/>
          <w:noProof/>
          <w:snapToGrid/>
          <w:spacing w:val="-3"/>
        </w:rPr>
        <w:tab/>
      </w:r>
      <w:r>
        <w:rPr>
          <w:rFonts w:ascii="Times New Roman" w:hAnsi="Times New Roman"/>
          <w:noProof/>
          <w:snapToGrid/>
          <w:spacing w:val="-3"/>
        </w:rPr>
        <w:tab/>
      </w:r>
      <w:r>
        <w:rPr>
          <w:rFonts w:ascii="Times New Roman" w:hAnsi="Times New Roman"/>
          <w:noProof/>
          <w:snapToGrid/>
          <w:spacing w:val="-3"/>
        </w:rPr>
        <w:tab/>
      </w:r>
      <w:r>
        <w:rPr>
          <w:rFonts w:ascii="Times New Roman" w:hAnsi="Times New Roman"/>
          <w:noProof/>
          <w:snapToGrid/>
          <w:spacing w:val="-3"/>
        </w:rPr>
        <w:tab/>
        <w:t>(7)</w:t>
      </w:r>
    </w:p>
    <w:p w:rsidR="00000000" w:rsidRDefault="00143D1B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000000" w:rsidRDefault="00143D1B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Uwzględniając fakt, że ekstynkcja, </w:t>
      </w:r>
      <w:r>
        <w:rPr>
          <w:rFonts w:ascii="Times New Roman" w:hAnsi="Times New Roman"/>
          <w:i/>
          <w:spacing w:val="-3"/>
        </w:rPr>
        <w:t>E</w:t>
      </w:r>
      <w:r>
        <w:rPr>
          <w:rFonts w:ascii="Times New Roman" w:hAnsi="Times New Roman"/>
          <w:spacing w:val="-3"/>
        </w:rPr>
        <w:t xml:space="preserve">, </w:t>
      </w:r>
      <w:r>
        <w:rPr>
          <w:rFonts w:ascii="Times New Roman" w:hAnsi="Times New Roman"/>
          <w:spacing w:val="-3"/>
        </w:rPr>
        <w:t>jest liniową funkcją równowagowego stężenia niezdysocjowanej formy indykatora [</w:t>
      </w:r>
      <w:r>
        <w:rPr>
          <w:rFonts w:ascii="Times New Roman" w:hAnsi="Times New Roman"/>
          <w:i/>
          <w:spacing w:val="-3"/>
        </w:rPr>
        <w:t>HIn</w:t>
      </w:r>
      <w:r>
        <w:rPr>
          <w:rFonts w:ascii="Times New Roman" w:hAnsi="Times New Roman"/>
          <w:spacing w:val="-3"/>
        </w:rPr>
        <w:t>]:</w:t>
      </w:r>
    </w:p>
    <w:p w:rsidR="00000000" w:rsidRDefault="00143D1B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000000" w:rsidRDefault="00143D1B">
      <w:pPr>
        <w:tabs>
          <w:tab w:val="left" w:pos="-720"/>
        </w:tabs>
        <w:suppressAutoHyphens/>
        <w:jc w:val="right"/>
        <w:rPr>
          <w:rFonts w:ascii="Times New Roman" w:hAnsi="Times New Roman"/>
          <w:noProof/>
          <w:snapToGrid/>
          <w:spacing w:val="-3"/>
        </w:rPr>
      </w:pPr>
      <w:r>
        <w:rPr>
          <w:rFonts w:ascii="Times New Roman" w:hAnsi="Times New Roman"/>
          <w:noProof/>
          <w:snapToGrid/>
          <w:spacing w:val="-3"/>
          <w:position w:val="-10"/>
        </w:rPr>
        <w:object w:dxaOrig="1219" w:dyaOrig="320">
          <v:shape id="_x0000_i1032" type="#_x0000_t75" style="width:60.75pt;height:15.75pt" o:ole="" fillcolor="window">
            <v:imagedata r:id="rId21" o:title=""/>
          </v:shape>
          <o:OLEObject Type="Embed" ProgID="Equation.3" ShapeID="_x0000_i1032" DrawAspect="Content" ObjectID="_1454396309" r:id="rId22"/>
        </w:object>
      </w:r>
      <w:r>
        <w:rPr>
          <w:rFonts w:ascii="Times New Roman" w:hAnsi="Times New Roman"/>
          <w:noProof/>
          <w:snapToGrid/>
          <w:spacing w:val="-3"/>
        </w:rPr>
        <w:tab/>
      </w:r>
      <w:r>
        <w:rPr>
          <w:rFonts w:ascii="Times New Roman" w:hAnsi="Times New Roman"/>
          <w:noProof/>
          <w:snapToGrid/>
          <w:spacing w:val="-3"/>
        </w:rPr>
        <w:tab/>
      </w:r>
      <w:r>
        <w:rPr>
          <w:rFonts w:ascii="Times New Roman" w:hAnsi="Times New Roman"/>
          <w:noProof/>
          <w:snapToGrid/>
          <w:spacing w:val="-3"/>
        </w:rPr>
        <w:tab/>
      </w:r>
      <w:r>
        <w:rPr>
          <w:rFonts w:ascii="Times New Roman" w:hAnsi="Times New Roman"/>
          <w:noProof/>
          <w:snapToGrid/>
          <w:spacing w:val="-3"/>
        </w:rPr>
        <w:tab/>
      </w:r>
      <w:r>
        <w:rPr>
          <w:rFonts w:ascii="Times New Roman" w:hAnsi="Times New Roman"/>
          <w:noProof/>
          <w:snapToGrid/>
          <w:spacing w:val="-3"/>
        </w:rPr>
        <w:tab/>
      </w:r>
      <w:r>
        <w:rPr>
          <w:rFonts w:ascii="Times New Roman" w:hAnsi="Times New Roman"/>
          <w:noProof/>
          <w:snapToGrid/>
          <w:spacing w:val="-3"/>
        </w:rPr>
        <w:tab/>
        <w:t>(8)</w:t>
      </w:r>
    </w:p>
    <w:p w:rsidR="00000000" w:rsidRDefault="00143D1B">
      <w:pPr>
        <w:tabs>
          <w:tab w:val="left" w:pos="-720"/>
        </w:tabs>
        <w:suppressAutoHyphens/>
        <w:jc w:val="both"/>
        <w:rPr>
          <w:rFonts w:ascii="Times New Roman" w:hAnsi="Times New Roman"/>
          <w:noProof/>
          <w:snapToGrid/>
          <w:spacing w:val="-3"/>
        </w:rPr>
      </w:pPr>
      <w:r>
        <w:rPr>
          <w:rFonts w:ascii="Times New Roman" w:hAnsi="Times New Roman"/>
          <w:noProof/>
          <w:snapToGrid/>
          <w:spacing w:val="-3"/>
        </w:rPr>
        <w:tab/>
      </w:r>
    </w:p>
    <w:p w:rsidR="00000000" w:rsidRDefault="00143D1B">
      <w:pPr>
        <w:tabs>
          <w:tab w:val="left" w:pos="-720"/>
        </w:tabs>
        <w:suppressAutoHyphens/>
        <w:jc w:val="both"/>
        <w:rPr>
          <w:rFonts w:ascii="Times New Roman" w:hAnsi="Times New Roman"/>
          <w:noProof/>
          <w:snapToGrid/>
          <w:spacing w:val="-3"/>
        </w:rPr>
      </w:pPr>
      <w:r>
        <w:rPr>
          <w:rFonts w:ascii="Times New Roman" w:hAnsi="Times New Roman"/>
          <w:noProof/>
          <w:snapToGrid/>
          <w:spacing w:val="-3"/>
        </w:rPr>
        <w:t xml:space="preserve">po odpowiednim przekształceniu powyższych równań otrzymuje </w:t>
      </w:r>
      <w:r>
        <w:rPr>
          <w:rFonts w:ascii="Times New Roman" w:hAnsi="Times New Roman"/>
          <w:spacing w:val="-3"/>
        </w:rPr>
        <w:t xml:space="preserve">się prostoliniową zależność w układzie współrzędnych </w:t>
      </w:r>
      <w:r>
        <w:rPr>
          <w:rFonts w:ascii="Times New Roman" w:hAnsi="Times New Roman"/>
          <w:i/>
          <w:spacing w:val="-3"/>
        </w:rPr>
        <w:t>1/E – 1/</w:t>
      </w:r>
      <w:r>
        <w:rPr>
          <w:rFonts w:ascii="Times New Roman" w:hAnsi="Times New Roman"/>
          <w:spacing w:val="-3"/>
        </w:rPr>
        <w:t>[</w:t>
      </w:r>
      <w:r>
        <w:rPr>
          <w:rFonts w:ascii="Times New Roman" w:hAnsi="Times New Roman"/>
          <w:i/>
          <w:spacing w:val="-3"/>
        </w:rPr>
        <w:t>H</w:t>
      </w:r>
      <w:r>
        <w:rPr>
          <w:rFonts w:ascii="Times New Roman" w:hAnsi="Times New Roman"/>
          <w:i/>
          <w:spacing w:val="-3"/>
          <w:vertAlign w:val="superscript"/>
        </w:rPr>
        <w:t>+</w:t>
      </w:r>
      <w:r>
        <w:rPr>
          <w:rFonts w:ascii="Times New Roman" w:hAnsi="Times New Roman"/>
          <w:spacing w:val="-3"/>
        </w:rPr>
        <w:t>]:</w:t>
      </w:r>
    </w:p>
    <w:p w:rsidR="00000000" w:rsidRDefault="00143D1B">
      <w:pPr>
        <w:tabs>
          <w:tab w:val="left" w:pos="-720"/>
        </w:tabs>
        <w:suppressAutoHyphens/>
        <w:jc w:val="both"/>
        <w:rPr>
          <w:rFonts w:ascii="Times New Roman" w:hAnsi="Times New Roman"/>
          <w:noProof/>
          <w:snapToGrid/>
          <w:spacing w:val="-3"/>
        </w:rPr>
      </w:pPr>
    </w:p>
    <w:p w:rsidR="00000000" w:rsidRDefault="00143D1B">
      <w:pPr>
        <w:tabs>
          <w:tab w:val="left" w:pos="-720"/>
        </w:tabs>
        <w:suppressAutoHyphens/>
        <w:jc w:val="right"/>
        <w:rPr>
          <w:rFonts w:ascii="Times New Roman" w:hAnsi="Times New Roman"/>
          <w:spacing w:val="-3"/>
        </w:rPr>
      </w:pPr>
      <w:r>
        <w:rPr>
          <w:rFonts w:ascii="Times New Roman" w:hAnsi="Times New Roman"/>
          <w:noProof/>
          <w:snapToGrid/>
          <w:spacing w:val="-3"/>
          <w:position w:val="-30"/>
        </w:rPr>
        <w:object w:dxaOrig="2480" w:dyaOrig="700">
          <v:shape id="_x0000_i1033" type="#_x0000_t75" style="width:123.75pt;height:35.25pt" o:ole="" fillcolor="window">
            <v:imagedata r:id="rId23" o:title=""/>
          </v:shape>
          <o:OLEObject Type="Embed" ProgID="Equation.3" ShapeID="_x0000_i1033" DrawAspect="Content" ObjectID="_1454396310" r:id="rId24"/>
        </w:object>
      </w:r>
      <w:r>
        <w:rPr>
          <w:rFonts w:ascii="Times New Roman" w:hAnsi="Times New Roman"/>
          <w:noProof/>
          <w:snapToGrid/>
          <w:spacing w:val="-3"/>
        </w:rPr>
        <w:tab/>
      </w:r>
      <w:r>
        <w:rPr>
          <w:rFonts w:ascii="Times New Roman" w:hAnsi="Times New Roman"/>
          <w:noProof/>
          <w:snapToGrid/>
          <w:spacing w:val="-3"/>
        </w:rPr>
        <w:tab/>
      </w:r>
      <w:r>
        <w:rPr>
          <w:rFonts w:ascii="Times New Roman" w:hAnsi="Times New Roman"/>
          <w:noProof/>
          <w:snapToGrid/>
          <w:spacing w:val="-3"/>
        </w:rPr>
        <w:tab/>
      </w:r>
      <w:r>
        <w:rPr>
          <w:rFonts w:ascii="Times New Roman" w:hAnsi="Times New Roman"/>
          <w:noProof/>
          <w:snapToGrid/>
          <w:spacing w:val="-3"/>
        </w:rPr>
        <w:tab/>
      </w:r>
      <w:r>
        <w:rPr>
          <w:rFonts w:ascii="Times New Roman" w:hAnsi="Times New Roman"/>
          <w:noProof/>
          <w:snapToGrid/>
          <w:spacing w:val="-3"/>
        </w:rPr>
        <w:tab/>
        <w:t>(9)</w:t>
      </w:r>
    </w:p>
    <w:p w:rsidR="00000000" w:rsidRDefault="00143D1B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000000" w:rsidRDefault="00143D1B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Ze współczynników równania linii prostej obliczonych metodą najmniejszych kwadratów, można wyznaczyć stałą dysocjacji indykatora, </w:t>
      </w:r>
      <w:r>
        <w:rPr>
          <w:rFonts w:ascii="Times New Roman" w:hAnsi="Times New Roman"/>
          <w:i/>
          <w:spacing w:val="-3"/>
        </w:rPr>
        <w:t>K</w:t>
      </w:r>
      <w:r>
        <w:rPr>
          <w:rFonts w:ascii="Times New Roman" w:hAnsi="Times New Roman"/>
          <w:i/>
          <w:spacing w:val="-3"/>
          <w:vertAlign w:val="subscript"/>
        </w:rPr>
        <w:t>ind</w:t>
      </w:r>
      <w:r>
        <w:rPr>
          <w:rFonts w:ascii="Times New Roman" w:hAnsi="Times New Roman"/>
          <w:spacing w:val="-3"/>
        </w:rPr>
        <w:t>.</w:t>
      </w:r>
    </w:p>
    <w:p w:rsidR="00000000" w:rsidRDefault="00143D1B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Seria roztworów wzorcowych mocnego elektrolitu (np. HCl), w których stężenie indykatora </w:t>
      </w:r>
      <w:r>
        <w:rPr>
          <w:rFonts w:ascii="Times New Roman" w:hAnsi="Times New Roman"/>
          <w:i/>
          <w:spacing w:val="-3"/>
        </w:rPr>
        <w:t>c</w:t>
      </w:r>
      <w:r>
        <w:rPr>
          <w:rFonts w:ascii="Times New Roman" w:hAnsi="Times New Roman"/>
          <w:i/>
          <w:spacing w:val="-3"/>
          <w:vertAlign w:val="subscript"/>
        </w:rPr>
        <w:t>ind</w:t>
      </w:r>
      <w:r>
        <w:rPr>
          <w:rFonts w:ascii="Times New Roman" w:hAnsi="Times New Roman"/>
          <w:spacing w:val="-3"/>
        </w:rPr>
        <w:t>, j</w:t>
      </w:r>
      <w:r>
        <w:rPr>
          <w:rFonts w:ascii="Times New Roman" w:hAnsi="Times New Roman"/>
          <w:spacing w:val="-3"/>
        </w:rPr>
        <w:t xml:space="preserve">est </w:t>
      </w:r>
      <w:r>
        <w:rPr>
          <w:rFonts w:ascii="Times New Roman" w:hAnsi="Times New Roman"/>
          <w:spacing w:val="-3"/>
        </w:rPr>
        <w:lastRenderedPageBreak/>
        <w:t xml:space="preserve">stałe, służy do określenia związku pomiędzy ekstynkcją, </w:t>
      </w:r>
      <w:r>
        <w:rPr>
          <w:rFonts w:ascii="Times New Roman" w:hAnsi="Times New Roman"/>
          <w:i/>
          <w:spacing w:val="-3"/>
        </w:rPr>
        <w:t>E</w:t>
      </w:r>
      <w:r>
        <w:rPr>
          <w:rFonts w:ascii="Times New Roman" w:hAnsi="Times New Roman"/>
          <w:spacing w:val="-3"/>
        </w:rPr>
        <w:t xml:space="preserve">, a stężeniem jonów wodorowych, </w:t>
      </w:r>
      <w:r>
        <w:rPr>
          <w:rFonts w:ascii="Times New Roman" w:hAnsi="Times New Roman"/>
          <w:i/>
          <w:spacing w:val="-3"/>
        </w:rPr>
        <w:t>[H</w:t>
      </w:r>
      <w:r>
        <w:rPr>
          <w:rFonts w:ascii="Times New Roman" w:hAnsi="Times New Roman"/>
          <w:i/>
          <w:spacing w:val="-3"/>
          <w:vertAlign w:val="superscript"/>
        </w:rPr>
        <w:t>+</w:t>
      </w:r>
      <w:r>
        <w:rPr>
          <w:rFonts w:ascii="Times New Roman" w:hAnsi="Times New Roman"/>
          <w:i/>
          <w:spacing w:val="-3"/>
        </w:rPr>
        <w:t>]</w:t>
      </w:r>
      <w:r>
        <w:rPr>
          <w:rFonts w:ascii="Times New Roman" w:hAnsi="Times New Roman"/>
          <w:spacing w:val="-3"/>
        </w:rPr>
        <w:t>, a następnie do wyliczenia stężenia jonów wodorowych w roztworach słabego elektrolitu (np. CH</w:t>
      </w:r>
      <w:r>
        <w:rPr>
          <w:rFonts w:ascii="Times New Roman" w:hAnsi="Times New Roman"/>
          <w:spacing w:val="-3"/>
          <w:vertAlign w:val="subscript"/>
        </w:rPr>
        <w:t>3</w:t>
      </w:r>
      <w:r>
        <w:rPr>
          <w:rFonts w:ascii="Times New Roman" w:hAnsi="Times New Roman"/>
          <w:spacing w:val="-3"/>
        </w:rPr>
        <w:t>COOH) i wyznaczenia jego stałej dysocjacji.</w:t>
      </w:r>
    </w:p>
    <w:p w:rsidR="00000000" w:rsidRDefault="00143D1B">
      <w:pPr>
        <w:pStyle w:val="Nagwek1"/>
        <w:spacing w:line="240" w:lineRule="auto"/>
        <w:rPr>
          <w:sz w:val="24"/>
          <w:lang w:val="pl-PL"/>
        </w:rPr>
      </w:pPr>
    </w:p>
    <w:p w:rsidR="00000000" w:rsidRDefault="00143D1B">
      <w:pPr>
        <w:pStyle w:val="Nagwek1"/>
        <w:spacing w:line="240" w:lineRule="auto"/>
        <w:rPr>
          <w:sz w:val="24"/>
          <w:lang w:val="pl-PL"/>
        </w:rPr>
      </w:pPr>
      <w:r>
        <w:rPr>
          <w:sz w:val="24"/>
          <w:lang w:val="pl-PL"/>
        </w:rPr>
        <w:t>Przyrządy i odczynn</w:t>
      </w:r>
      <w:r>
        <w:rPr>
          <w:sz w:val="24"/>
          <w:lang w:val="pl-PL"/>
        </w:rPr>
        <w:t>iki</w:t>
      </w:r>
    </w:p>
    <w:p w:rsidR="00000000" w:rsidRDefault="006A30FC">
      <w:pPr>
        <w:tabs>
          <w:tab w:val="left" w:pos="720"/>
          <w:tab w:val="right" w:pos="9026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spektrofotometr</w:t>
      </w:r>
      <w:r w:rsidR="00143D1B">
        <w:rPr>
          <w:rFonts w:ascii="Times New Roman" w:hAnsi="Times New Roman"/>
          <w:spacing w:val="-3"/>
        </w:rPr>
        <w:t>, 0.01M HCl, 0.01M CH</w:t>
      </w:r>
      <w:r w:rsidR="00143D1B">
        <w:rPr>
          <w:rFonts w:ascii="Times New Roman" w:hAnsi="Times New Roman"/>
          <w:spacing w:val="-3"/>
          <w:vertAlign w:val="subscript"/>
        </w:rPr>
        <w:t>3</w:t>
      </w:r>
      <w:r w:rsidR="00143D1B">
        <w:rPr>
          <w:rFonts w:ascii="Times New Roman" w:hAnsi="Times New Roman"/>
          <w:spacing w:val="-3"/>
        </w:rPr>
        <w:t>COOH, roztwory oranżu metylowego i błękitu bromofenolowego, szkło laboratoryjne.</w:t>
      </w:r>
    </w:p>
    <w:p w:rsidR="00000000" w:rsidRDefault="00143D1B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000000" w:rsidRDefault="00143D1B">
      <w:pPr>
        <w:pStyle w:val="Nagwek1"/>
        <w:spacing w:line="240" w:lineRule="auto"/>
        <w:rPr>
          <w:sz w:val="24"/>
          <w:lang w:val="pl-PL"/>
        </w:rPr>
      </w:pPr>
      <w:r>
        <w:rPr>
          <w:sz w:val="24"/>
          <w:lang w:val="pl-PL"/>
        </w:rPr>
        <w:t>Wykonanie ćwiczenia</w:t>
      </w:r>
    </w:p>
    <w:p w:rsidR="00000000" w:rsidRDefault="00143D1B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1.</w:t>
      </w:r>
      <w:r>
        <w:rPr>
          <w:rFonts w:ascii="Times New Roman" w:hAnsi="Times New Roman"/>
          <w:spacing w:val="-3"/>
        </w:rPr>
        <w:tab/>
        <w:t>W kolbach miarowych na 100 ml rozcieńczyć CH</w:t>
      </w:r>
      <w:r>
        <w:rPr>
          <w:rFonts w:ascii="Times New Roman" w:hAnsi="Times New Roman"/>
          <w:spacing w:val="-3"/>
          <w:vertAlign w:val="subscript"/>
        </w:rPr>
        <w:t>3</w:t>
      </w:r>
      <w:r>
        <w:rPr>
          <w:rFonts w:ascii="Times New Roman" w:hAnsi="Times New Roman"/>
          <w:spacing w:val="-3"/>
        </w:rPr>
        <w:t>COOH tak, aby otrzymać roztwory 0.001, 0.0</w:t>
      </w:r>
      <w:r>
        <w:rPr>
          <w:rFonts w:ascii="Times New Roman" w:hAnsi="Times New Roman"/>
          <w:spacing w:val="-3"/>
        </w:rPr>
        <w:t>03, 0.005, 0.01 i  0.02 M.</w:t>
      </w:r>
    </w:p>
    <w:p w:rsidR="00000000" w:rsidRDefault="00143D1B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2.</w:t>
      </w:r>
      <w:r>
        <w:rPr>
          <w:rFonts w:ascii="Times New Roman" w:hAnsi="Times New Roman"/>
          <w:spacing w:val="-3"/>
        </w:rPr>
        <w:tab/>
        <w:t>Posługując się Tabelą 1 należy w kolbach miarowych na 100 ml sporządzić roztwory wzorcowe HCl.</w:t>
      </w:r>
    </w:p>
    <w:p w:rsidR="00000000" w:rsidRDefault="00143D1B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3.</w:t>
      </w:r>
      <w:r>
        <w:rPr>
          <w:rFonts w:ascii="Times New Roman" w:hAnsi="Times New Roman"/>
          <w:spacing w:val="-3"/>
        </w:rPr>
        <w:tab/>
        <w:t xml:space="preserve">Do każdego roztworu należy dodać przy pomocy pipety dokładnie po 1 ml oranżu metylowego lub po 1 ml błękitu bromofenolowego </w:t>
      </w:r>
      <w:r>
        <w:rPr>
          <w:rFonts w:ascii="Times New Roman" w:hAnsi="Times New Roman"/>
          <w:b/>
          <w:spacing w:val="-3"/>
        </w:rPr>
        <w:t>(prz</w:t>
      </w:r>
      <w:r>
        <w:rPr>
          <w:rFonts w:ascii="Times New Roman" w:hAnsi="Times New Roman"/>
          <w:b/>
          <w:spacing w:val="-3"/>
        </w:rPr>
        <w:t>ed dopełnieniem do kreski !!!)</w:t>
      </w:r>
    </w:p>
    <w:p w:rsidR="00000000" w:rsidRDefault="00143D1B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000000" w:rsidRDefault="00143D1B">
      <w:pPr>
        <w:pStyle w:val="Tekstpodstawowywcity"/>
        <w:rPr>
          <w:sz w:val="24"/>
        </w:rPr>
      </w:pPr>
      <w:r>
        <w:rPr>
          <w:sz w:val="24"/>
        </w:rPr>
        <w:t>U W A G A !!! Roztwory dokładnie wymieszać. W czasie napełniania kuwety nie dotykać czołowych przeźroczystych powierzchni.</w:t>
      </w:r>
    </w:p>
    <w:p w:rsidR="00000000" w:rsidRDefault="00143D1B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000000" w:rsidRDefault="00143D1B">
      <w:pPr>
        <w:tabs>
          <w:tab w:val="left" w:pos="-720"/>
        </w:tabs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POMIAR EKSTYNKCJI</w:t>
      </w:r>
    </w:p>
    <w:p w:rsidR="00000000" w:rsidRDefault="00143D1B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Przed pomiarem ekstynkcji należy włączyć urządzenie pomiarowe do sieci i nacisnąć </w:t>
      </w:r>
      <w:r>
        <w:rPr>
          <w:rFonts w:ascii="Times New Roman" w:hAnsi="Times New Roman"/>
          <w:spacing w:val="-3"/>
        </w:rPr>
        <w:t>klawisz "~" - miga 6 diod. Pomiar ekstynkcji rozpocząć po ok. 15 min.</w:t>
      </w:r>
    </w:p>
    <w:p w:rsidR="00000000" w:rsidRDefault="00143D1B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1.</w:t>
      </w:r>
      <w:r>
        <w:rPr>
          <w:rFonts w:ascii="Times New Roman" w:hAnsi="Times New Roman"/>
          <w:spacing w:val="-3"/>
        </w:rPr>
        <w:tab/>
        <w:t>Nastawić długość fal pomiarowych.</w:t>
      </w:r>
    </w:p>
    <w:p w:rsidR="00000000" w:rsidRDefault="00143D1B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>Przy stosowaniu jako wskaźnika oranżu metylowego zalecana długość fali λ = 535 nm, przy błękicie bromofenolowym λ = 590 nm.</w:t>
      </w:r>
    </w:p>
    <w:p w:rsidR="00000000" w:rsidRDefault="00143D1B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2.</w:t>
      </w:r>
      <w:r>
        <w:rPr>
          <w:rFonts w:ascii="Times New Roman" w:hAnsi="Times New Roman"/>
          <w:spacing w:val="-3"/>
        </w:rPr>
        <w:tab/>
        <w:t>Odbiornik promieniowa</w:t>
      </w:r>
      <w:r>
        <w:rPr>
          <w:rFonts w:ascii="Times New Roman" w:hAnsi="Times New Roman"/>
          <w:spacing w:val="-3"/>
        </w:rPr>
        <w:t>nia (czuły na światło czerwone - trójkąt czerwony lub niebieskie - trójkąt niebieski) przesunąć do oporu na drogę promieni.</w:t>
      </w:r>
    </w:p>
    <w:p w:rsidR="00000000" w:rsidRDefault="00143D1B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3.</w:t>
      </w:r>
      <w:r>
        <w:rPr>
          <w:rFonts w:ascii="Times New Roman" w:hAnsi="Times New Roman"/>
          <w:spacing w:val="-3"/>
        </w:rPr>
        <w:tab/>
        <w:t>Próbkę odniesienia (kuweta z wodą) umieścić w biegu promieni.</w:t>
      </w:r>
    </w:p>
    <w:p w:rsidR="00000000" w:rsidRDefault="00143D1B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4.</w:t>
      </w:r>
      <w:r>
        <w:rPr>
          <w:rFonts w:ascii="Times New Roman" w:hAnsi="Times New Roman"/>
          <w:spacing w:val="-3"/>
        </w:rPr>
        <w:tab/>
        <w:t>Nacisnąć klawisz " E ", miga " R ".</w:t>
      </w:r>
    </w:p>
    <w:p w:rsidR="00000000" w:rsidRDefault="00143D1B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5.</w:t>
      </w:r>
      <w:r>
        <w:rPr>
          <w:rFonts w:ascii="Times New Roman" w:hAnsi="Times New Roman"/>
          <w:spacing w:val="-3"/>
        </w:rPr>
        <w:tab/>
        <w:t>Nacisnąć klawisz " R ". P</w:t>
      </w:r>
      <w:r>
        <w:rPr>
          <w:rFonts w:ascii="Times New Roman" w:hAnsi="Times New Roman"/>
          <w:spacing w:val="-3"/>
        </w:rPr>
        <w:t>o zakończeniu automatycznego dostrajania urządzenia pojawia się wskazanie 0.0 ( = E ), a wygasa fotodioda. Przy większych wzmocnieniach i poprzednim dłuższym zaciemnieniu fotokomórek przedłuża się nieznacznie czas dostrajania.</w:t>
      </w:r>
    </w:p>
    <w:p w:rsidR="00000000" w:rsidRDefault="00143D1B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000000" w:rsidRDefault="00143D1B">
      <w:pPr>
        <w:tabs>
          <w:tab w:val="left" w:pos="-720"/>
        </w:tabs>
        <w:suppressAutoHyphens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UWAGA!!!</w:t>
      </w:r>
    </w:p>
    <w:p w:rsidR="00000000" w:rsidRDefault="00143D1B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000000" w:rsidRDefault="00143D1B">
      <w:pPr>
        <w:pStyle w:val="Tekstpodstawowy"/>
        <w:rPr>
          <w:sz w:val="24"/>
        </w:rPr>
      </w:pPr>
      <w:r>
        <w:rPr>
          <w:sz w:val="24"/>
        </w:rPr>
        <w:t>Jeżeli pojawia się</w:t>
      </w:r>
      <w:r>
        <w:rPr>
          <w:sz w:val="24"/>
        </w:rPr>
        <w:t xml:space="preserve"> wskazanie " -OFL " lub " +OFL ", wtedy energia świetlna przy dostrajaniu wzorcowym jest zbyt niska lub za wysoka wówczas należy ją zmienić dźwignią wychylną, lub przez zmianę odbiornika promieniowania, następnie po naciśnięciu klawisza " R " należy ponown</w:t>
      </w:r>
      <w:r>
        <w:rPr>
          <w:sz w:val="24"/>
        </w:rPr>
        <w:t>ie przeprowadzić proces dostrajania urządzenia.</w:t>
      </w:r>
    </w:p>
    <w:p w:rsidR="00000000" w:rsidRDefault="00143D1B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000000" w:rsidRDefault="00143D1B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000000" w:rsidRDefault="00143D1B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6.</w:t>
      </w:r>
      <w:r>
        <w:rPr>
          <w:rFonts w:ascii="Times New Roman" w:hAnsi="Times New Roman"/>
          <w:spacing w:val="-3"/>
        </w:rPr>
        <w:tab/>
        <w:t>Próbkę pomiarową wsunąć do biegu promieni i odczytać wartość pomiarową.</w:t>
      </w:r>
    </w:p>
    <w:p w:rsidR="00000000" w:rsidRDefault="00143D1B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7.</w:t>
      </w:r>
      <w:r>
        <w:rPr>
          <w:rFonts w:ascii="Times New Roman" w:hAnsi="Times New Roman"/>
          <w:spacing w:val="-3"/>
        </w:rPr>
        <w:tab/>
        <w:t>W przypadku dłuższych szeregów pomiarowych należy w pewnych odstępach czasu umieszczać próbkę odniesienia i szybko sprawdzić sta</w:t>
      </w:r>
      <w:r>
        <w:rPr>
          <w:rFonts w:ascii="Times New Roman" w:hAnsi="Times New Roman"/>
          <w:spacing w:val="-3"/>
        </w:rPr>
        <w:t>n roboczy urządzenia. W razie konieczności wyregulować urządzenie przez naciśnięcie klawisza " R ".</w:t>
      </w:r>
    </w:p>
    <w:p w:rsidR="00000000" w:rsidRDefault="00143D1B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8.</w:t>
      </w:r>
      <w:r>
        <w:rPr>
          <w:rFonts w:ascii="Times New Roman" w:hAnsi="Times New Roman"/>
          <w:spacing w:val="-3"/>
        </w:rPr>
        <w:tab/>
        <w:t>Wykonać pomiary ekstynkcji dla wszystkich roztworów wzorcowych HCl i CH</w:t>
      </w:r>
      <w:r>
        <w:rPr>
          <w:rFonts w:ascii="Times New Roman" w:hAnsi="Times New Roman"/>
          <w:spacing w:val="-3"/>
          <w:vertAlign w:val="subscript"/>
        </w:rPr>
        <w:t>3</w:t>
      </w:r>
      <w:r>
        <w:rPr>
          <w:rFonts w:ascii="Times New Roman" w:hAnsi="Times New Roman"/>
          <w:spacing w:val="-3"/>
        </w:rPr>
        <w:t>COOH (zaczynając od roztworu o najniższym stężeniu), wyniki odnotować w Tabeli 2.</w:t>
      </w:r>
    </w:p>
    <w:p w:rsidR="00000000" w:rsidRDefault="00143D1B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</w:p>
    <w:p w:rsidR="00000000" w:rsidRDefault="00143D1B">
      <w:pPr>
        <w:pStyle w:val="Nagwek1"/>
        <w:spacing w:line="240" w:lineRule="auto"/>
        <w:rPr>
          <w:sz w:val="24"/>
          <w:lang w:val="pl-PL"/>
        </w:rPr>
      </w:pPr>
      <w:r>
        <w:rPr>
          <w:sz w:val="24"/>
          <w:lang w:val="pl-PL"/>
        </w:rPr>
        <w:lastRenderedPageBreak/>
        <w:t>Opracowanie wyników</w:t>
      </w:r>
    </w:p>
    <w:p w:rsidR="00000000" w:rsidRDefault="00143D1B">
      <w:pPr>
        <w:numPr>
          <w:ilvl w:val="0"/>
          <w:numId w:val="4"/>
        </w:numPr>
        <w:tabs>
          <w:tab w:val="left" w:pos="-720"/>
          <w:tab w:val="left" w:pos="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Na podstawie pomiarów ekstynkcji  dla każdego z badanych  roztworów CH</w:t>
      </w:r>
      <w:r>
        <w:rPr>
          <w:rFonts w:ascii="Times New Roman" w:hAnsi="Times New Roman"/>
          <w:spacing w:val="-3"/>
          <w:vertAlign w:val="subscript"/>
        </w:rPr>
        <w:t>3</w:t>
      </w:r>
      <w:r>
        <w:rPr>
          <w:rFonts w:ascii="Times New Roman" w:hAnsi="Times New Roman"/>
          <w:spacing w:val="-3"/>
        </w:rPr>
        <w:t xml:space="preserve">COOH o stężeniu  </w:t>
      </w:r>
      <w:r>
        <w:rPr>
          <w:rFonts w:ascii="Times New Roman" w:hAnsi="Times New Roman"/>
          <w:i/>
          <w:spacing w:val="-3"/>
        </w:rPr>
        <w:t>c</w:t>
      </w:r>
      <w:r>
        <w:rPr>
          <w:rFonts w:ascii="Times New Roman" w:hAnsi="Times New Roman"/>
          <w:spacing w:val="-3"/>
        </w:rPr>
        <w:t xml:space="preserve"> wyznaczyć stężenie jonów wodorowych [</w:t>
      </w:r>
      <w:r>
        <w:rPr>
          <w:rFonts w:ascii="Times New Roman" w:hAnsi="Times New Roman"/>
          <w:i/>
          <w:spacing w:val="-3"/>
        </w:rPr>
        <w:t>H</w:t>
      </w:r>
      <w:r>
        <w:rPr>
          <w:rFonts w:ascii="Times New Roman" w:hAnsi="Times New Roman"/>
          <w:i/>
          <w:spacing w:val="-3"/>
          <w:vertAlign w:val="superscript"/>
        </w:rPr>
        <w:t>+</w:t>
      </w:r>
      <w:r>
        <w:rPr>
          <w:rFonts w:ascii="Times New Roman" w:hAnsi="Times New Roman"/>
          <w:spacing w:val="-3"/>
        </w:rPr>
        <w:t>]</w:t>
      </w:r>
      <w:r>
        <w:rPr>
          <w:rFonts w:ascii="Times New Roman" w:hAnsi="Times New Roman"/>
          <w:i/>
          <w:spacing w:val="-3"/>
        </w:rPr>
        <w:t xml:space="preserve">. </w:t>
      </w:r>
      <w:r>
        <w:rPr>
          <w:rFonts w:ascii="Times New Roman" w:hAnsi="Times New Roman"/>
          <w:spacing w:val="-3"/>
        </w:rPr>
        <w:t xml:space="preserve">Obliczyć stopień dysocjacji, </w:t>
      </w:r>
      <w:r>
        <w:rPr>
          <w:rFonts w:ascii="Times New Roman" w:hAnsi="Times New Roman"/>
          <w:i/>
          <w:spacing w:val="-3"/>
        </w:rPr>
        <w:t>α,</w:t>
      </w:r>
      <w:r>
        <w:rPr>
          <w:rFonts w:ascii="Times New Roman" w:hAnsi="Times New Roman"/>
          <w:spacing w:val="-3"/>
        </w:rPr>
        <w:t xml:space="preserve"> CH</w:t>
      </w:r>
      <w:r>
        <w:rPr>
          <w:rFonts w:ascii="Times New Roman" w:hAnsi="Times New Roman"/>
          <w:spacing w:val="-3"/>
          <w:vertAlign w:val="subscript"/>
        </w:rPr>
        <w:t>3</w:t>
      </w:r>
      <w:r>
        <w:rPr>
          <w:rFonts w:ascii="Times New Roman" w:hAnsi="Times New Roman"/>
          <w:spacing w:val="-3"/>
        </w:rPr>
        <w:t>COOH w tych roztworach przy pomocy wzoru:</w:t>
      </w:r>
    </w:p>
    <w:p w:rsidR="00000000" w:rsidRDefault="00143D1B">
      <w:pPr>
        <w:tabs>
          <w:tab w:val="left" w:pos="-720"/>
          <w:tab w:val="left" w:pos="0"/>
        </w:tabs>
        <w:suppressAutoHyphens/>
        <w:jc w:val="right"/>
        <w:rPr>
          <w:rFonts w:ascii="Times New Roman" w:hAnsi="Times New Roman"/>
          <w:noProof/>
          <w:snapToGrid/>
          <w:spacing w:val="-3"/>
        </w:rPr>
      </w:pPr>
      <w:r>
        <w:rPr>
          <w:rFonts w:ascii="Times New Roman" w:hAnsi="Times New Roman"/>
          <w:noProof/>
          <w:snapToGrid/>
          <w:spacing w:val="-3"/>
          <w:position w:val="-24"/>
        </w:rPr>
        <w:object w:dxaOrig="980" w:dyaOrig="660">
          <v:shape id="_x0000_i1034" type="#_x0000_t75" style="width:48.75pt;height:33pt" o:ole="" fillcolor="window">
            <v:imagedata r:id="rId25" o:title=""/>
          </v:shape>
          <o:OLEObject Type="Embed" ProgID="Equation.3" ShapeID="_x0000_i1034" DrawAspect="Content" ObjectID="_1454396311" r:id="rId26"/>
        </w:object>
      </w:r>
      <w:r>
        <w:rPr>
          <w:rFonts w:ascii="Times New Roman" w:hAnsi="Times New Roman"/>
          <w:noProof/>
          <w:snapToGrid/>
          <w:spacing w:val="-3"/>
        </w:rPr>
        <w:tab/>
      </w:r>
      <w:r>
        <w:rPr>
          <w:rFonts w:ascii="Times New Roman" w:hAnsi="Times New Roman"/>
          <w:noProof/>
          <w:snapToGrid/>
          <w:spacing w:val="-3"/>
        </w:rPr>
        <w:tab/>
      </w:r>
      <w:r>
        <w:rPr>
          <w:rFonts w:ascii="Times New Roman" w:hAnsi="Times New Roman"/>
          <w:noProof/>
          <w:snapToGrid/>
          <w:spacing w:val="-3"/>
        </w:rPr>
        <w:tab/>
      </w:r>
      <w:r>
        <w:rPr>
          <w:rFonts w:ascii="Times New Roman" w:hAnsi="Times New Roman"/>
          <w:noProof/>
          <w:snapToGrid/>
          <w:spacing w:val="-3"/>
        </w:rPr>
        <w:tab/>
      </w:r>
      <w:r>
        <w:rPr>
          <w:rFonts w:ascii="Times New Roman" w:hAnsi="Times New Roman"/>
          <w:noProof/>
          <w:snapToGrid/>
          <w:spacing w:val="-3"/>
        </w:rPr>
        <w:tab/>
      </w:r>
      <w:r>
        <w:rPr>
          <w:rFonts w:ascii="Times New Roman" w:hAnsi="Times New Roman"/>
          <w:noProof/>
          <w:snapToGrid/>
          <w:spacing w:val="-3"/>
        </w:rPr>
        <w:tab/>
        <w:t>(10)</w:t>
      </w:r>
    </w:p>
    <w:p w:rsidR="00000000" w:rsidRDefault="00143D1B">
      <w:pPr>
        <w:tabs>
          <w:tab w:val="left" w:pos="-720"/>
          <w:tab w:val="left" w:pos="0"/>
        </w:tabs>
        <w:suppressAutoHyphens/>
        <w:jc w:val="right"/>
        <w:rPr>
          <w:rFonts w:ascii="Times New Roman" w:hAnsi="Times New Roman"/>
          <w:spacing w:val="-3"/>
        </w:rPr>
      </w:pPr>
    </w:p>
    <w:p w:rsidR="00000000" w:rsidRDefault="00143D1B">
      <w:pPr>
        <w:tabs>
          <w:tab w:val="left" w:pos="-720"/>
        </w:tabs>
        <w:suppressAutoHyphens/>
        <w:ind w:left="709" w:hanging="709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2.</w:t>
      </w:r>
      <w:r>
        <w:rPr>
          <w:rFonts w:ascii="Times New Roman" w:hAnsi="Times New Roman"/>
          <w:spacing w:val="-3"/>
        </w:rPr>
        <w:tab/>
        <w:t xml:space="preserve">Obliczyć stałą dysocjacji </w:t>
      </w:r>
      <w:r>
        <w:rPr>
          <w:rFonts w:ascii="Times New Roman" w:hAnsi="Times New Roman"/>
          <w:i/>
          <w:spacing w:val="-3"/>
        </w:rPr>
        <w:t>K</w:t>
      </w:r>
      <w:r>
        <w:rPr>
          <w:rFonts w:ascii="Times New Roman" w:hAnsi="Times New Roman"/>
          <w:i/>
          <w:spacing w:val="-3"/>
          <w:vertAlign w:val="subscript"/>
        </w:rPr>
        <w:t>c</w:t>
      </w:r>
      <w:r>
        <w:rPr>
          <w:rFonts w:ascii="Times New Roman" w:hAnsi="Times New Roman"/>
          <w:spacing w:val="-3"/>
        </w:rPr>
        <w:t xml:space="preserve"> dla każdego roztworu CH</w:t>
      </w:r>
      <w:r>
        <w:rPr>
          <w:rFonts w:ascii="Times New Roman" w:hAnsi="Times New Roman"/>
          <w:spacing w:val="-3"/>
          <w:vertAlign w:val="subscript"/>
        </w:rPr>
        <w:t>3</w:t>
      </w:r>
      <w:r>
        <w:rPr>
          <w:rFonts w:ascii="Times New Roman" w:hAnsi="Times New Roman"/>
          <w:spacing w:val="-3"/>
        </w:rPr>
        <w:t>COOH:</w:t>
      </w:r>
    </w:p>
    <w:p w:rsidR="00000000" w:rsidRDefault="00143D1B">
      <w:pPr>
        <w:tabs>
          <w:tab w:val="left" w:pos="-720"/>
        </w:tabs>
        <w:suppressAutoHyphens/>
        <w:jc w:val="right"/>
        <w:rPr>
          <w:rFonts w:ascii="Times New Roman" w:hAnsi="Times New Roman"/>
          <w:noProof/>
          <w:snapToGrid/>
          <w:spacing w:val="-3"/>
        </w:rPr>
      </w:pPr>
      <w:r>
        <w:rPr>
          <w:rFonts w:ascii="Times New Roman" w:hAnsi="Times New Roman"/>
          <w:noProof/>
          <w:snapToGrid/>
          <w:spacing w:val="-3"/>
          <w:position w:val="-24"/>
        </w:rPr>
        <w:object w:dxaOrig="1300" w:dyaOrig="660">
          <v:shape id="_x0000_i1035" type="#_x0000_t75" style="width:65.25pt;height:33pt" o:ole="" fillcolor="window">
            <v:imagedata r:id="rId27" o:title=""/>
          </v:shape>
          <o:OLEObject Type="Embed" ProgID="Equation.3" ShapeID="_x0000_i1035" DrawAspect="Content" ObjectID="_1454396312" r:id="rId28"/>
        </w:object>
      </w:r>
      <w:r>
        <w:rPr>
          <w:rFonts w:ascii="Times New Roman" w:hAnsi="Times New Roman"/>
          <w:noProof/>
          <w:snapToGrid/>
          <w:spacing w:val="-3"/>
        </w:rPr>
        <w:tab/>
      </w:r>
      <w:r>
        <w:rPr>
          <w:rFonts w:ascii="Times New Roman" w:hAnsi="Times New Roman"/>
          <w:noProof/>
          <w:snapToGrid/>
          <w:spacing w:val="-3"/>
        </w:rPr>
        <w:tab/>
      </w:r>
      <w:r>
        <w:rPr>
          <w:rFonts w:ascii="Times New Roman" w:hAnsi="Times New Roman"/>
          <w:noProof/>
          <w:snapToGrid/>
          <w:spacing w:val="-3"/>
        </w:rPr>
        <w:tab/>
      </w:r>
      <w:r>
        <w:rPr>
          <w:rFonts w:ascii="Times New Roman" w:hAnsi="Times New Roman"/>
          <w:noProof/>
          <w:snapToGrid/>
          <w:spacing w:val="-3"/>
        </w:rPr>
        <w:tab/>
      </w:r>
      <w:r>
        <w:rPr>
          <w:rFonts w:ascii="Times New Roman" w:hAnsi="Times New Roman"/>
          <w:noProof/>
          <w:snapToGrid/>
          <w:spacing w:val="-3"/>
        </w:rPr>
        <w:tab/>
      </w:r>
      <w:r>
        <w:rPr>
          <w:rFonts w:ascii="Times New Roman" w:hAnsi="Times New Roman"/>
          <w:noProof/>
          <w:snapToGrid/>
          <w:spacing w:val="-3"/>
        </w:rPr>
        <w:tab/>
        <w:t>(11)</w:t>
      </w:r>
    </w:p>
    <w:p w:rsidR="00000000" w:rsidRDefault="00143D1B">
      <w:pPr>
        <w:tabs>
          <w:tab w:val="left" w:pos="-720"/>
        </w:tabs>
        <w:suppressAutoHyphens/>
        <w:jc w:val="right"/>
        <w:rPr>
          <w:rFonts w:ascii="Times New Roman" w:hAnsi="Times New Roman"/>
          <w:spacing w:val="-3"/>
        </w:rPr>
      </w:pPr>
    </w:p>
    <w:p w:rsidR="00000000" w:rsidRDefault="00143D1B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>Obliczyć średnią arytmetyczną otrzymanej wartości stałej dysocjacji, wyniki zamieścić w Tabeli 2.</w:t>
      </w:r>
    </w:p>
    <w:p w:rsidR="00000000" w:rsidRDefault="00143D1B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3.</w:t>
      </w:r>
      <w:r>
        <w:rPr>
          <w:rFonts w:ascii="Times New Roman" w:hAnsi="Times New Roman"/>
          <w:spacing w:val="-3"/>
        </w:rPr>
        <w:tab/>
        <w:t xml:space="preserve">Sporządzić wykresy </w:t>
      </w:r>
      <w:r>
        <w:rPr>
          <w:rFonts w:ascii="Times New Roman" w:hAnsi="Times New Roman"/>
          <w:i/>
          <w:spacing w:val="-3"/>
        </w:rPr>
        <w:t>α</w:t>
      </w:r>
      <w:r>
        <w:rPr>
          <w:rFonts w:ascii="Times New Roman" w:hAnsi="Times New Roman"/>
          <w:spacing w:val="-3"/>
        </w:rPr>
        <w:t xml:space="preserve"> = f(</w:t>
      </w:r>
      <w:r>
        <w:rPr>
          <w:rFonts w:ascii="Times New Roman" w:hAnsi="Times New Roman"/>
          <w:spacing w:val="-3"/>
        </w:rPr>
        <w:sym w:font="Symbol" w:char="F0D6"/>
      </w:r>
      <w:r>
        <w:rPr>
          <w:rFonts w:ascii="Times New Roman" w:hAnsi="Times New Roman"/>
          <w:spacing w:val="-3"/>
        </w:rPr>
        <w:t xml:space="preserve">c) i </w:t>
      </w:r>
      <w:r>
        <w:rPr>
          <w:rFonts w:ascii="Times New Roman" w:hAnsi="Times New Roman"/>
          <w:i/>
          <w:spacing w:val="-3"/>
        </w:rPr>
        <w:t>K</w:t>
      </w:r>
      <w:r>
        <w:rPr>
          <w:rFonts w:ascii="Times New Roman" w:hAnsi="Times New Roman"/>
          <w:i/>
          <w:spacing w:val="-3"/>
          <w:vertAlign w:val="subscript"/>
        </w:rPr>
        <w:t>c</w:t>
      </w:r>
      <w:r>
        <w:rPr>
          <w:rFonts w:ascii="Times New Roman" w:hAnsi="Times New Roman"/>
          <w:spacing w:val="-3"/>
        </w:rPr>
        <w:t xml:space="preserve"> = f(c) dla ba</w:t>
      </w:r>
      <w:r>
        <w:rPr>
          <w:rFonts w:ascii="Times New Roman" w:hAnsi="Times New Roman"/>
          <w:spacing w:val="-3"/>
        </w:rPr>
        <w:t>danych roztworów CH</w:t>
      </w:r>
      <w:r>
        <w:rPr>
          <w:rFonts w:ascii="Times New Roman" w:hAnsi="Times New Roman"/>
          <w:spacing w:val="-3"/>
          <w:vertAlign w:val="subscript"/>
        </w:rPr>
        <w:t>3</w:t>
      </w:r>
      <w:r>
        <w:rPr>
          <w:rFonts w:ascii="Times New Roman" w:hAnsi="Times New Roman"/>
          <w:spacing w:val="-3"/>
        </w:rPr>
        <w:t>COOH. Jakie wnioski można wysunąć na podstawie wykonanych wykresów?</w:t>
      </w:r>
    </w:p>
    <w:p w:rsidR="00000000" w:rsidRDefault="00143D1B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4.</w:t>
      </w:r>
      <w:r>
        <w:rPr>
          <w:rFonts w:ascii="Times New Roman" w:hAnsi="Times New Roman"/>
          <w:spacing w:val="-3"/>
        </w:rPr>
        <w:tab/>
        <w:t>Obliczyć błąd procentowy i bezwzględny wyznaczonej wartości stopnia i stałej dysocjacji. W pierwszym przypadku zastosować metodę pochodnej logarytmicznej, w drugim -</w:t>
      </w:r>
      <w:r>
        <w:rPr>
          <w:rFonts w:ascii="Times New Roman" w:hAnsi="Times New Roman"/>
          <w:spacing w:val="-3"/>
        </w:rPr>
        <w:t xml:space="preserve"> metodę różniczki zupełnej.</w:t>
      </w:r>
    </w:p>
    <w:p w:rsidR="00000000" w:rsidRDefault="00143D1B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5.</w:t>
      </w:r>
      <w:r>
        <w:rPr>
          <w:rFonts w:ascii="Times New Roman" w:hAnsi="Times New Roman"/>
          <w:spacing w:val="-3"/>
        </w:rPr>
        <w:tab/>
        <w:t xml:space="preserve">Przeprowadzić dyskusję otrzymanych wyników oraz podać wnioski.  </w:t>
      </w:r>
    </w:p>
    <w:p w:rsidR="00000000" w:rsidRDefault="00143D1B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000000" w:rsidRDefault="00143D1B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000000" w:rsidRDefault="00143D1B">
      <w:pPr>
        <w:pStyle w:val="Nagwek1"/>
        <w:spacing w:line="240" w:lineRule="auto"/>
        <w:rPr>
          <w:sz w:val="24"/>
          <w:lang w:val="pl-PL"/>
        </w:rPr>
      </w:pPr>
      <w:r>
        <w:rPr>
          <w:sz w:val="24"/>
          <w:lang w:val="pl-PL"/>
        </w:rPr>
        <w:t>Zagadnienia do opracowania</w:t>
      </w:r>
    </w:p>
    <w:p w:rsidR="00000000" w:rsidRDefault="00143D1B">
      <w:pPr>
        <w:numPr>
          <w:ilvl w:val="0"/>
          <w:numId w:val="3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Dysocjacja elektrolityczna, stopień i stała dysocjacji.</w:t>
      </w:r>
    </w:p>
    <w:p w:rsidR="00000000" w:rsidRDefault="00143D1B">
      <w:pPr>
        <w:numPr>
          <w:ilvl w:val="0"/>
          <w:numId w:val="3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Elektrolity mocne i słabe.</w:t>
      </w:r>
    </w:p>
    <w:p w:rsidR="00000000" w:rsidRDefault="00143D1B">
      <w:pPr>
        <w:numPr>
          <w:ilvl w:val="0"/>
          <w:numId w:val="3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Prawo rozcieńczeń Ostwalda.</w:t>
      </w:r>
    </w:p>
    <w:p w:rsidR="00000000" w:rsidRDefault="00143D1B">
      <w:pPr>
        <w:numPr>
          <w:ilvl w:val="0"/>
          <w:numId w:val="3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Absorpcja światła w </w:t>
      </w:r>
      <w:r>
        <w:rPr>
          <w:rFonts w:ascii="Times New Roman" w:hAnsi="Times New Roman"/>
          <w:spacing w:val="-3"/>
        </w:rPr>
        <w:t>roztworach -  prawo Lamberta-Beera.</w:t>
      </w:r>
    </w:p>
    <w:p w:rsidR="00000000" w:rsidRDefault="00143D1B">
      <w:pPr>
        <w:numPr>
          <w:ilvl w:val="0"/>
          <w:numId w:val="3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Wielkości charakteryzujące absorpcję promieniowania w ośrodku pochłaniającym (ekstynkcja, transmisja).</w:t>
      </w:r>
    </w:p>
    <w:p w:rsidR="00000000" w:rsidRDefault="00143D1B">
      <w:pPr>
        <w:numPr>
          <w:ilvl w:val="0"/>
          <w:numId w:val="3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Przyczyny występowania odstępstw od prawa Lamberta-Beera</w:t>
      </w:r>
    </w:p>
    <w:p w:rsidR="00000000" w:rsidRDefault="00143D1B">
      <w:pPr>
        <w:numPr>
          <w:ilvl w:val="0"/>
          <w:numId w:val="3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Na co zużywana jest pochłonięta w procesie absorpcji energia</w:t>
      </w:r>
      <w:r>
        <w:rPr>
          <w:rFonts w:ascii="Times New Roman" w:hAnsi="Times New Roman"/>
          <w:spacing w:val="-3"/>
        </w:rPr>
        <w:t>?</w:t>
      </w:r>
    </w:p>
    <w:p w:rsidR="00000000" w:rsidRDefault="00143D1B">
      <w:pPr>
        <w:numPr>
          <w:ilvl w:val="0"/>
          <w:numId w:val="3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Analityczne zastosowania absoprcji światła w widzialnej części widma (kolorymetryczna metoda pomiaru stężeń roztworów związków barwnych)</w:t>
      </w:r>
    </w:p>
    <w:p w:rsidR="00000000" w:rsidRDefault="00143D1B">
      <w:pPr>
        <w:numPr>
          <w:ilvl w:val="0"/>
          <w:numId w:val="3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Wskaźniki kwasowo-zasadowe i ich wykorzystanie do kolorymetrycznego oznaczania stężenia jonów wodorowych.</w:t>
      </w:r>
    </w:p>
    <w:p w:rsidR="00000000" w:rsidRDefault="00143D1B">
      <w:pPr>
        <w:pStyle w:val="Nagwek1"/>
        <w:spacing w:line="240" w:lineRule="auto"/>
        <w:rPr>
          <w:sz w:val="24"/>
          <w:lang w:val="pl-PL"/>
        </w:rPr>
      </w:pPr>
    </w:p>
    <w:p w:rsidR="00000000" w:rsidRDefault="00143D1B"/>
    <w:p w:rsidR="00000000" w:rsidRDefault="00143D1B">
      <w:pPr>
        <w:pStyle w:val="Nagwek1"/>
        <w:spacing w:line="240" w:lineRule="auto"/>
        <w:rPr>
          <w:sz w:val="24"/>
          <w:lang w:val="pl-PL"/>
        </w:rPr>
      </w:pPr>
      <w:r>
        <w:rPr>
          <w:sz w:val="24"/>
          <w:lang w:val="pl-PL"/>
        </w:rPr>
        <w:t>Literatur</w:t>
      </w:r>
      <w:r>
        <w:rPr>
          <w:sz w:val="24"/>
          <w:lang w:val="pl-PL"/>
        </w:rPr>
        <w:t>a</w:t>
      </w:r>
    </w:p>
    <w:p w:rsidR="00000000" w:rsidRDefault="00143D1B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1.</w:t>
      </w:r>
      <w:r>
        <w:rPr>
          <w:rFonts w:ascii="Times New Roman" w:hAnsi="Times New Roman"/>
          <w:spacing w:val="-3"/>
        </w:rPr>
        <w:tab/>
        <w:t xml:space="preserve">K.Pigoń, </w:t>
      </w:r>
      <w:r>
        <w:rPr>
          <w:rFonts w:ascii="Times New Roman" w:hAnsi="Times New Roman"/>
          <w:i/>
          <w:spacing w:val="-3"/>
        </w:rPr>
        <w:t>Chemia Fizyczna</w:t>
      </w:r>
      <w:r>
        <w:rPr>
          <w:rFonts w:ascii="Times New Roman" w:hAnsi="Times New Roman"/>
          <w:spacing w:val="-3"/>
        </w:rPr>
        <w:t>, PWN W-wa 1980</w:t>
      </w:r>
    </w:p>
    <w:p w:rsidR="00000000" w:rsidRDefault="00143D1B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2.</w:t>
      </w:r>
      <w:r>
        <w:rPr>
          <w:rFonts w:ascii="Times New Roman" w:hAnsi="Times New Roman"/>
          <w:spacing w:val="-3"/>
        </w:rPr>
        <w:tab/>
        <w:t xml:space="preserve">S.Bursa, </w:t>
      </w:r>
      <w:r>
        <w:rPr>
          <w:rFonts w:ascii="Times New Roman" w:hAnsi="Times New Roman"/>
          <w:i/>
          <w:spacing w:val="-3"/>
        </w:rPr>
        <w:t>Chemia fizyczna</w:t>
      </w:r>
      <w:r>
        <w:rPr>
          <w:rFonts w:ascii="Times New Roman" w:hAnsi="Times New Roman"/>
          <w:spacing w:val="-3"/>
        </w:rPr>
        <w:t>, PWN W-wa 1979</w:t>
      </w:r>
    </w:p>
    <w:p w:rsidR="00000000" w:rsidRDefault="00143D1B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3.</w:t>
      </w:r>
      <w:r>
        <w:rPr>
          <w:rFonts w:ascii="Times New Roman" w:hAnsi="Times New Roman"/>
          <w:spacing w:val="-3"/>
        </w:rPr>
        <w:tab/>
        <w:t xml:space="preserve">J.Minczewski, Z.Marczenko, </w:t>
      </w:r>
      <w:r>
        <w:rPr>
          <w:rFonts w:ascii="Times New Roman" w:hAnsi="Times New Roman"/>
          <w:i/>
          <w:spacing w:val="-3"/>
        </w:rPr>
        <w:t>Chemia Analityczna</w:t>
      </w:r>
      <w:r>
        <w:rPr>
          <w:rFonts w:ascii="Times New Roman" w:hAnsi="Times New Roman"/>
          <w:spacing w:val="-3"/>
        </w:rPr>
        <w:t>, Tom 3, PWN, W-wa 1987</w:t>
      </w:r>
    </w:p>
    <w:p w:rsidR="00000000" w:rsidRDefault="00143D1B">
      <w:pPr>
        <w:tabs>
          <w:tab w:val="left" w:pos="-720"/>
        </w:tabs>
        <w:suppressAutoHyphens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pacing w:val="-3"/>
        </w:rPr>
        <w:br w:type="page"/>
      </w:r>
      <w:r>
        <w:rPr>
          <w:rFonts w:ascii="Times New Roman" w:hAnsi="Times New Roman"/>
          <w:b/>
        </w:rPr>
        <w:lastRenderedPageBreak/>
        <w:t xml:space="preserve">Tabela 1. </w:t>
      </w:r>
      <w:r>
        <w:rPr>
          <w:rFonts w:ascii="Times New Roman" w:hAnsi="Times New Roman"/>
        </w:rPr>
        <w:t>Skład i stężenie roztworów kwasu chlorowodorowego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1843"/>
        <w:gridCol w:w="1181"/>
        <w:gridCol w:w="1181"/>
        <w:gridCol w:w="1182"/>
        <w:gridCol w:w="1181"/>
        <w:gridCol w:w="1181"/>
        <w:gridCol w:w="118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000000" w:rsidRDefault="00143D1B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fldChar w:fldCharType="begin"/>
            </w:r>
            <w:r>
              <w:rPr>
                <w:rFonts w:ascii="Times New Roman" w:hAnsi="Times New Roman"/>
                <w:spacing w:val="-1"/>
              </w:rPr>
              <w:instrText xml:space="preserve">PRIVATE </w:instrText>
            </w:r>
            <w:r>
              <w:rPr>
                <w:rFonts w:ascii="Times New Roman" w:hAnsi="Times New Roman"/>
                <w:spacing w:val="-1"/>
              </w:rPr>
            </w:r>
            <w:r>
              <w:rPr>
                <w:rFonts w:ascii="Times New Roman" w:hAnsi="Times New Roman"/>
                <w:spacing w:val="-1"/>
              </w:rPr>
              <w:fldChar w:fldCharType="end"/>
            </w:r>
            <w:r>
              <w:rPr>
                <w:rFonts w:ascii="Times New Roman" w:hAnsi="Times New Roman"/>
                <w:spacing w:val="-1"/>
              </w:rPr>
              <w:t xml:space="preserve">Skład i </w:t>
            </w:r>
            <w:r>
              <w:rPr>
                <w:rFonts w:ascii="Times New Roman" w:hAnsi="Times New Roman"/>
                <w:spacing w:val="-3"/>
              </w:rPr>
              <w:t>[</w:t>
            </w:r>
            <w:r>
              <w:rPr>
                <w:rFonts w:ascii="Times New Roman" w:hAnsi="Times New Roman"/>
                <w:i/>
                <w:spacing w:val="-3"/>
              </w:rPr>
              <w:t>H</w:t>
            </w:r>
            <w:r>
              <w:rPr>
                <w:rFonts w:ascii="Times New Roman" w:hAnsi="Times New Roman"/>
                <w:i/>
                <w:spacing w:val="-3"/>
                <w:vertAlign w:val="superscript"/>
              </w:rPr>
              <w:t>+</w:t>
            </w:r>
            <w:r>
              <w:rPr>
                <w:rFonts w:ascii="Times New Roman" w:hAnsi="Times New Roman"/>
                <w:spacing w:val="-3"/>
              </w:rPr>
              <w:t>]</w:t>
            </w:r>
          </w:p>
        </w:tc>
        <w:tc>
          <w:tcPr>
            <w:tcW w:w="7088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000000" w:rsidRDefault="00143D1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Nr roztworu</w:t>
            </w:r>
            <w:r>
              <w:rPr>
                <w:rFonts w:ascii="Times New Roman" w:hAnsi="Times New Roman"/>
                <w:spacing w:val="-1"/>
              </w:rPr>
              <w:t xml:space="preserve"> wzorcowego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vMerge/>
            <w:tcBorders>
              <w:left w:val="single" w:sz="2" w:space="0" w:color="auto"/>
            </w:tcBorders>
          </w:tcPr>
          <w:p w:rsidR="00000000" w:rsidRDefault="00143D1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FFFFFF"/>
            <w:vAlign w:val="center"/>
          </w:tcPr>
          <w:p w:rsidR="00000000" w:rsidRDefault="00143D1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1181" w:type="dxa"/>
            <w:tcBorders>
              <w:top w:val="single" w:sz="7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FFFFFF"/>
            <w:vAlign w:val="center"/>
          </w:tcPr>
          <w:p w:rsidR="00000000" w:rsidRDefault="00143D1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2</w:t>
            </w:r>
          </w:p>
        </w:tc>
        <w:tc>
          <w:tcPr>
            <w:tcW w:w="1182" w:type="dxa"/>
            <w:tcBorders>
              <w:top w:val="single" w:sz="7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FFFFFF"/>
            <w:vAlign w:val="center"/>
          </w:tcPr>
          <w:p w:rsidR="00000000" w:rsidRDefault="00143D1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3</w:t>
            </w:r>
          </w:p>
        </w:tc>
        <w:tc>
          <w:tcPr>
            <w:tcW w:w="1181" w:type="dxa"/>
            <w:tcBorders>
              <w:top w:val="single" w:sz="7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FFFFFF"/>
            <w:vAlign w:val="center"/>
          </w:tcPr>
          <w:p w:rsidR="00000000" w:rsidRDefault="00143D1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4</w:t>
            </w:r>
          </w:p>
        </w:tc>
        <w:tc>
          <w:tcPr>
            <w:tcW w:w="1181" w:type="dxa"/>
            <w:tcBorders>
              <w:top w:val="single" w:sz="7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FFFFFF"/>
            <w:vAlign w:val="center"/>
          </w:tcPr>
          <w:p w:rsidR="00000000" w:rsidRDefault="00143D1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5</w:t>
            </w:r>
          </w:p>
        </w:tc>
        <w:tc>
          <w:tcPr>
            <w:tcW w:w="1182" w:type="dxa"/>
            <w:tcBorders>
              <w:top w:val="single" w:sz="7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FFFFFF"/>
            <w:vAlign w:val="center"/>
          </w:tcPr>
          <w:p w:rsidR="00000000" w:rsidRDefault="00143D1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7" w:space="0" w:color="auto"/>
              <w:left w:val="single" w:sz="2" w:space="0" w:color="auto"/>
            </w:tcBorders>
          </w:tcPr>
          <w:p w:rsidR="00000000" w:rsidRDefault="00143D1B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0.01M HCl</w:t>
            </w:r>
          </w:p>
          <w:p w:rsidR="00000000" w:rsidRDefault="00143D1B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 [cm</w:t>
            </w:r>
            <w:r>
              <w:rPr>
                <w:rFonts w:ascii="Times New Roman" w:hAnsi="Times New Roman"/>
                <w:spacing w:val="-1"/>
                <w:vertAlign w:val="superscript"/>
              </w:rPr>
              <w:t>3</w:t>
            </w:r>
            <w:r>
              <w:rPr>
                <w:rFonts w:ascii="Times New Roman" w:hAnsi="Times New Roman"/>
                <w:spacing w:val="-1"/>
              </w:rPr>
              <w:t>]</w:t>
            </w:r>
          </w:p>
        </w:tc>
        <w:tc>
          <w:tcPr>
            <w:tcW w:w="1181" w:type="dxa"/>
            <w:tcBorders>
              <w:left w:val="single" w:sz="7" w:space="0" w:color="auto"/>
            </w:tcBorders>
            <w:vAlign w:val="center"/>
          </w:tcPr>
          <w:p w:rsidR="00000000" w:rsidRDefault="00143D1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1.0</w:t>
            </w:r>
          </w:p>
        </w:tc>
        <w:tc>
          <w:tcPr>
            <w:tcW w:w="1181" w:type="dxa"/>
            <w:tcBorders>
              <w:left w:val="single" w:sz="7" w:space="0" w:color="auto"/>
            </w:tcBorders>
            <w:vAlign w:val="center"/>
          </w:tcPr>
          <w:p w:rsidR="00000000" w:rsidRDefault="00143D1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1.5</w:t>
            </w:r>
          </w:p>
        </w:tc>
        <w:tc>
          <w:tcPr>
            <w:tcW w:w="1182" w:type="dxa"/>
            <w:tcBorders>
              <w:left w:val="single" w:sz="7" w:space="0" w:color="auto"/>
            </w:tcBorders>
            <w:vAlign w:val="center"/>
          </w:tcPr>
          <w:p w:rsidR="00000000" w:rsidRDefault="00143D1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2.0</w:t>
            </w:r>
          </w:p>
        </w:tc>
        <w:tc>
          <w:tcPr>
            <w:tcW w:w="1181" w:type="dxa"/>
            <w:tcBorders>
              <w:left w:val="single" w:sz="7" w:space="0" w:color="auto"/>
            </w:tcBorders>
            <w:vAlign w:val="center"/>
          </w:tcPr>
          <w:p w:rsidR="00000000" w:rsidRDefault="00143D1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3.0</w:t>
            </w:r>
          </w:p>
        </w:tc>
        <w:tc>
          <w:tcPr>
            <w:tcW w:w="1181" w:type="dxa"/>
            <w:tcBorders>
              <w:left w:val="single" w:sz="7" w:space="0" w:color="auto"/>
            </w:tcBorders>
            <w:vAlign w:val="center"/>
          </w:tcPr>
          <w:p w:rsidR="00000000" w:rsidRDefault="00143D1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5.0</w:t>
            </w:r>
          </w:p>
        </w:tc>
        <w:tc>
          <w:tcPr>
            <w:tcW w:w="1182" w:type="dxa"/>
            <w:tcBorders>
              <w:left w:val="single" w:sz="7" w:space="0" w:color="auto"/>
              <w:right w:val="single" w:sz="2" w:space="0" w:color="auto"/>
            </w:tcBorders>
            <w:vAlign w:val="center"/>
          </w:tcPr>
          <w:p w:rsidR="00000000" w:rsidRDefault="00143D1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8.0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7" w:space="0" w:color="auto"/>
              <w:left w:val="single" w:sz="2" w:space="0" w:color="auto"/>
            </w:tcBorders>
          </w:tcPr>
          <w:p w:rsidR="00000000" w:rsidRDefault="00143D1B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Woda destylowana </w:t>
            </w:r>
          </w:p>
          <w:p w:rsidR="00000000" w:rsidRDefault="00143D1B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[cm</w:t>
            </w:r>
            <w:r>
              <w:rPr>
                <w:rFonts w:ascii="Times New Roman" w:hAnsi="Times New Roman"/>
                <w:spacing w:val="-1"/>
                <w:vertAlign w:val="superscript"/>
              </w:rPr>
              <w:t>3</w:t>
            </w:r>
            <w:r>
              <w:rPr>
                <w:rFonts w:ascii="Times New Roman" w:hAnsi="Times New Roman"/>
                <w:spacing w:val="-1"/>
              </w:rPr>
              <w:t>]</w:t>
            </w:r>
          </w:p>
        </w:tc>
        <w:tc>
          <w:tcPr>
            <w:tcW w:w="1181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000000" w:rsidRDefault="00143D1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99.0</w:t>
            </w:r>
          </w:p>
        </w:tc>
        <w:tc>
          <w:tcPr>
            <w:tcW w:w="1181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000000" w:rsidRDefault="00143D1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98.5</w:t>
            </w:r>
          </w:p>
        </w:tc>
        <w:tc>
          <w:tcPr>
            <w:tcW w:w="1182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000000" w:rsidRDefault="00143D1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98.0</w:t>
            </w:r>
          </w:p>
        </w:tc>
        <w:tc>
          <w:tcPr>
            <w:tcW w:w="1181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000000" w:rsidRDefault="00143D1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97.0</w:t>
            </w:r>
          </w:p>
        </w:tc>
        <w:tc>
          <w:tcPr>
            <w:tcW w:w="1181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000000" w:rsidRDefault="00143D1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95.0</w:t>
            </w:r>
          </w:p>
        </w:tc>
        <w:tc>
          <w:tcPr>
            <w:tcW w:w="1182" w:type="dxa"/>
            <w:tcBorders>
              <w:top w:val="single" w:sz="7" w:space="0" w:color="auto"/>
              <w:left w:val="single" w:sz="7" w:space="0" w:color="auto"/>
              <w:right w:val="single" w:sz="2" w:space="0" w:color="auto"/>
            </w:tcBorders>
            <w:vAlign w:val="center"/>
          </w:tcPr>
          <w:p w:rsidR="00000000" w:rsidRDefault="00143D1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92.0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7" w:space="0" w:color="auto"/>
              <w:left w:val="single" w:sz="2" w:space="0" w:color="auto"/>
              <w:bottom w:val="single" w:sz="2" w:space="0" w:color="auto"/>
            </w:tcBorders>
          </w:tcPr>
          <w:p w:rsidR="00000000" w:rsidRDefault="00143D1B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Stężenie jonów wodorowych</w:t>
            </w:r>
          </w:p>
          <w:p w:rsidR="00000000" w:rsidRDefault="00143D1B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="Times New Roman" w:hAnsi="Times New Roman"/>
                <w:spacing w:val="-1"/>
                <w:lang w:val="de-DE"/>
              </w:rPr>
            </w:pP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de-DE"/>
              </w:rPr>
              <w:t>[M]</w:t>
            </w:r>
          </w:p>
        </w:tc>
        <w:tc>
          <w:tcPr>
            <w:tcW w:w="1181" w:type="dxa"/>
            <w:tcBorders>
              <w:top w:val="single" w:sz="7" w:space="0" w:color="auto"/>
              <w:left w:val="single" w:sz="7" w:space="0" w:color="auto"/>
              <w:bottom w:val="single" w:sz="2" w:space="0" w:color="auto"/>
            </w:tcBorders>
            <w:vAlign w:val="center"/>
          </w:tcPr>
          <w:p w:rsidR="00000000" w:rsidRDefault="00143D1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lang w:val="de-DE"/>
              </w:rPr>
            </w:pPr>
            <w:r>
              <w:rPr>
                <w:rFonts w:ascii="Times New Roman" w:hAnsi="Times New Roman"/>
                <w:spacing w:val="-1"/>
                <w:lang w:val="de-DE"/>
              </w:rPr>
              <w:t>1.0·10</w:t>
            </w:r>
            <w:r>
              <w:rPr>
                <w:rFonts w:ascii="Times New Roman" w:hAnsi="Times New Roman"/>
                <w:spacing w:val="-1"/>
                <w:vertAlign w:val="superscript"/>
                <w:lang w:val="de-DE"/>
              </w:rPr>
              <w:t>-4</w:t>
            </w:r>
          </w:p>
        </w:tc>
        <w:tc>
          <w:tcPr>
            <w:tcW w:w="1181" w:type="dxa"/>
            <w:tcBorders>
              <w:top w:val="single" w:sz="7" w:space="0" w:color="auto"/>
              <w:left w:val="single" w:sz="7" w:space="0" w:color="auto"/>
              <w:bottom w:val="single" w:sz="2" w:space="0" w:color="auto"/>
            </w:tcBorders>
            <w:vAlign w:val="center"/>
          </w:tcPr>
          <w:p w:rsidR="00000000" w:rsidRDefault="00143D1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lang w:val="de-DE"/>
              </w:rPr>
            </w:pPr>
            <w:r>
              <w:rPr>
                <w:rFonts w:ascii="Times New Roman" w:hAnsi="Times New Roman"/>
                <w:spacing w:val="-1"/>
                <w:lang w:val="de-DE"/>
              </w:rPr>
              <w:t>1.5·10</w:t>
            </w:r>
            <w:r>
              <w:rPr>
                <w:rFonts w:ascii="Times New Roman" w:hAnsi="Times New Roman"/>
                <w:spacing w:val="-1"/>
                <w:vertAlign w:val="superscript"/>
                <w:lang w:val="de-DE"/>
              </w:rPr>
              <w:t>-4</w:t>
            </w:r>
          </w:p>
        </w:tc>
        <w:tc>
          <w:tcPr>
            <w:tcW w:w="1182" w:type="dxa"/>
            <w:tcBorders>
              <w:top w:val="single" w:sz="7" w:space="0" w:color="auto"/>
              <w:left w:val="single" w:sz="7" w:space="0" w:color="auto"/>
              <w:bottom w:val="single" w:sz="2" w:space="0" w:color="auto"/>
            </w:tcBorders>
            <w:vAlign w:val="center"/>
          </w:tcPr>
          <w:p w:rsidR="00000000" w:rsidRDefault="00143D1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lang w:val="de-DE"/>
              </w:rPr>
            </w:pPr>
            <w:r>
              <w:rPr>
                <w:rFonts w:ascii="Times New Roman" w:hAnsi="Times New Roman"/>
                <w:spacing w:val="-1"/>
                <w:lang w:val="de-DE"/>
              </w:rPr>
              <w:t>2.0·10</w:t>
            </w:r>
            <w:r>
              <w:rPr>
                <w:rFonts w:ascii="Times New Roman" w:hAnsi="Times New Roman"/>
                <w:spacing w:val="-1"/>
                <w:vertAlign w:val="superscript"/>
                <w:lang w:val="de-DE"/>
              </w:rPr>
              <w:t>-4</w:t>
            </w:r>
          </w:p>
        </w:tc>
        <w:tc>
          <w:tcPr>
            <w:tcW w:w="1181" w:type="dxa"/>
            <w:tcBorders>
              <w:top w:val="single" w:sz="7" w:space="0" w:color="auto"/>
              <w:left w:val="single" w:sz="7" w:space="0" w:color="auto"/>
              <w:bottom w:val="single" w:sz="2" w:space="0" w:color="auto"/>
            </w:tcBorders>
            <w:vAlign w:val="center"/>
          </w:tcPr>
          <w:p w:rsidR="00000000" w:rsidRDefault="00143D1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lang w:val="de-DE"/>
              </w:rPr>
            </w:pPr>
            <w:r>
              <w:rPr>
                <w:rFonts w:ascii="Times New Roman" w:hAnsi="Times New Roman"/>
                <w:spacing w:val="-1"/>
                <w:lang w:val="de-DE"/>
              </w:rPr>
              <w:t>3.0·10</w:t>
            </w:r>
            <w:r>
              <w:rPr>
                <w:rFonts w:ascii="Times New Roman" w:hAnsi="Times New Roman"/>
                <w:spacing w:val="-1"/>
                <w:vertAlign w:val="superscript"/>
                <w:lang w:val="de-DE"/>
              </w:rPr>
              <w:t>-4</w:t>
            </w:r>
          </w:p>
        </w:tc>
        <w:tc>
          <w:tcPr>
            <w:tcW w:w="1181" w:type="dxa"/>
            <w:tcBorders>
              <w:top w:val="single" w:sz="7" w:space="0" w:color="auto"/>
              <w:left w:val="single" w:sz="7" w:space="0" w:color="auto"/>
              <w:bottom w:val="single" w:sz="2" w:space="0" w:color="auto"/>
            </w:tcBorders>
            <w:vAlign w:val="center"/>
          </w:tcPr>
          <w:p w:rsidR="00000000" w:rsidRDefault="00143D1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lang w:val="de-DE"/>
              </w:rPr>
            </w:pPr>
            <w:r>
              <w:rPr>
                <w:rFonts w:ascii="Times New Roman" w:hAnsi="Times New Roman"/>
                <w:spacing w:val="-1"/>
                <w:lang w:val="de-DE"/>
              </w:rPr>
              <w:t>5.0·10</w:t>
            </w:r>
            <w:r>
              <w:rPr>
                <w:rFonts w:ascii="Times New Roman" w:hAnsi="Times New Roman"/>
                <w:spacing w:val="-1"/>
                <w:vertAlign w:val="superscript"/>
                <w:lang w:val="de-DE"/>
              </w:rPr>
              <w:t>-4</w:t>
            </w:r>
          </w:p>
        </w:tc>
        <w:tc>
          <w:tcPr>
            <w:tcW w:w="1182" w:type="dxa"/>
            <w:tcBorders>
              <w:top w:val="single" w:sz="7" w:space="0" w:color="auto"/>
              <w:left w:val="single" w:sz="7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143D1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lang w:val="de-DE"/>
              </w:rPr>
            </w:pPr>
            <w:r>
              <w:rPr>
                <w:rFonts w:ascii="Times New Roman" w:hAnsi="Times New Roman"/>
                <w:spacing w:val="-1"/>
                <w:lang w:val="de-DE"/>
              </w:rPr>
              <w:t>8.0·10</w:t>
            </w:r>
            <w:r>
              <w:rPr>
                <w:rFonts w:ascii="Times New Roman" w:hAnsi="Times New Roman"/>
                <w:spacing w:val="-1"/>
                <w:vertAlign w:val="superscript"/>
                <w:lang w:val="de-DE"/>
              </w:rPr>
              <w:t>-4</w:t>
            </w:r>
          </w:p>
        </w:tc>
      </w:tr>
    </w:tbl>
    <w:p w:rsidR="00000000" w:rsidRDefault="00143D1B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de-DE"/>
        </w:rPr>
      </w:pPr>
    </w:p>
    <w:p w:rsidR="00000000" w:rsidRDefault="00143D1B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de-DE"/>
        </w:rPr>
      </w:pPr>
    </w:p>
    <w:p w:rsidR="00000000" w:rsidRDefault="00143D1B">
      <w:pPr>
        <w:pStyle w:val="Nagwek4"/>
        <w:jc w:val="left"/>
        <w:rPr>
          <w:sz w:val="24"/>
        </w:rPr>
      </w:pPr>
      <w:r>
        <w:rPr>
          <w:sz w:val="24"/>
        </w:rPr>
        <w:t xml:space="preserve">Tabela 2. </w:t>
      </w:r>
      <w:r>
        <w:rPr>
          <w:b w:val="0"/>
          <w:sz w:val="24"/>
        </w:rPr>
        <w:t>Wyniki obliczeń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1560"/>
        <w:gridCol w:w="1275"/>
        <w:gridCol w:w="1843"/>
        <w:gridCol w:w="1418"/>
        <w:gridCol w:w="1417"/>
        <w:gridCol w:w="14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000000" w:rsidRDefault="00143D1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fldChar w:fldCharType="begin"/>
            </w:r>
            <w:r>
              <w:rPr>
                <w:rFonts w:ascii="Times New Roman" w:hAnsi="Times New Roman"/>
                <w:spacing w:val="-1"/>
              </w:rPr>
              <w:instrText xml:space="preserve">PRIVATE </w:instrText>
            </w:r>
            <w:r>
              <w:rPr>
                <w:rFonts w:ascii="Times New Roman" w:hAnsi="Times New Roman"/>
                <w:spacing w:val="-1"/>
              </w:rPr>
            </w:r>
            <w:r>
              <w:rPr>
                <w:rFonts w:ascii="Times New Roman" w:hAnsi="Times New Roman"/>
                <w:spacing w:val="-1"/>
              </w:rPr>
              <w:fldChar w:fldCharType="end"/>
            </w:r>
            <w:r>
              <w:rPr>
                <w:rFonts w:ascii="Times New Roman" w:hAnsi="Times New Roman"/>
                <w:spacing w:val="-1"/>
              </w:rPr>
              <w:t>Nr rozt</w:t>
            </w:r>
            <w:r>
              <w:rPr>
                <w:rFonts w:ascii="Times New Roman" w:hAnsi="Times New Roman"/>
                <w:spacing w:val="-1"/>
              </w:rPr>
              <w:t>woru</w:t>
            </w:r>
          </w:p>
          <w:p w:rsidR="00000000" w:rsidRDefault="00143D1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3"/>
              </w:rPr>
              <w:t>CH</w:t>
            </w:r>
            <w:r>
              <w:rPr>
                <w:rFonts w:ascii="Times New Roman" w:hAnsi="Times New Roman"/>
                <w:spacing w:val="-3"/>
                <w:vertAlign w:val="subscript"/>
              </w:rPr>
              <w:t>3</w:t>
            </w:r>
            <w:r>
              <w:rPr>
                <w:rFonts w:ascii="Times New Roman" w:hAnsi="Times New Roman"/>
                <w:spacing w:val="-3"/>
              </w:rPr>
              <w:t>COOH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000000" w:rsidRDefault="00143D1B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Stężenie kwasu</w:t>
            </w:r>
          </w:p>
          <w:p w:rsidR="00000000" w:rsidRDefault="00143D1B">
            <w:pPr>
              <w:tabs>
                <w:tab w:val="center" w:pos="641"/>
              </w:tabs>
              <w:suppressAutoHyphens/>
              <w:spacing w:after="54"/>
              <w:jc w:val="center"/>
              <w:rPr>
                <w:rFonts w:ascii="Times New Roman" w:hAnsi="Times New Roman"/>
                <w:i/>
                <w:spacing w:val="-1"/>
              </w:rPr>
            </w:pPr>
            <w:r>
              <w:rPr>
                <w:rFonts w:ascii="Times New Roman" w:hAnsi="Times New Roman"/>
                <w:i/>
                <w:spacing w:val="-1"/>
              </w:rPr>
              <w:t>c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000000" w:rsidRDefault="00143D1B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Stężenie jonów wodorowych</w:t>
            </w:r>
          </w:p>
          <w:p w:rsidR="00000000" w:rsidRDefault="00143D1B">
            <w:pPr>
              <w:tabs>
                <w:tab w:val="center" w:pos="642"/>
              </w:tabs>
              <w:suppressAutoHyphens/>
              <w:spacing w:after="54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3"/>
              </w:rPr>
              <w:t>[</w:t>
            </w:r>
            <w:r>
              <w:rPr>
                <w:rFonts w:ascii="Times New Roman" w:hAnsi="Times New Roman"/>
                <w:i/>
                <w:spacing w:val="-3"/>
              </w:rPr>
              <w:t>H</w:t>
            </w:r>
            <w:r>
              <w:rPr>
                <w:rFonts w:ascii="Times New Roman" w:hAnsi="Times New Roman"/>
                <w:i/>
                <w:spacing w:val="-3"/>
                <w:vertAlign w:val="superscript"/>
              </w:rPr>
              <w:t>+</w:t>
            </w:r>
            <w:r>
              <w:rPr>
                <w:rFonts w:ascii="Times New Roman" w:hAnsi="Times New Roman"/>
                <w:spacing w:val="-3"/>
              </w:rPr>
              <w:t>]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000000" w:rsidRDefault="00143D1B">
            <w:pPr>
              <w:pStyle w:val="Tekstpodstawowy2"/>
              <w:rPr>
                <w:sz w:val="24"/>
              </w:rPr>
            </w:pPr>
            <w:r>
              <w:rPr>
                <w:sz w:val="24"/>
              </w:rPr>
              <w:t>Stopień dysocjacji</w:t>
            </w:r>
          </w:p>
          <w:p w:rsidR="00000000" w:rsidRDefault="00143D1B">
            <w:pPr>
              <w:tabs>
                <w:tab w:val="center" w:pos="642"/>
              </w:tabs>
              <w:suppressAutoHyphens/>
              <w:spacing w:after="54"/>
              <w:jc w:val="center"/>
              <w:rPr>
                <w:rFonts w:ascii="Times New Roman" w:hAnsi="Times New Roman"/>
                <w:i/>
                <w:spacing w:val="-1"/>
              </w:rPr>
            </w:pPr>
            <w:r>
              <w:rPr>
                <w:rFonts w:ascii="Times New Roman" w:hAnsi="Times New Roman"/>
                <w:i/>
                <w:spacing w:val="-1"/>
              </w:rPr>
              <w:t>α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000000" w:rsidRDefault="00143D1B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Stała dysocjacji</w:t>
            </w:r>
          </w:p>
          <w:p w:rsidR="00000000" w:rsidRDefault="00143D1B">
            <w:pPr>
              <w:tabs>
                <w:tab w:val="center" w:pos="643"/>
              </w:tabs>
              <w:suppressAutoHyphens/>
              <w:spacing w:after="54"/>
              <w:jc w:val="center"/>
              <w:rPr>
                <w:rFonts w:ascii="Times New Roman" w:hAnsi="Times New Roman"/>
                <w:i/>
                <w:spacing w:val="-1"/>
              </w:rPr>
            </w:pPr>
            <w:r>
              <w:rPr>
                <w:rFonts w:ascii="Times New Roman" w:hAnsi="Times New Roman"/>
                <w:i/>
                <w:spacing w:val="-1"/>
              </w:rPr>
              <w:t>K</w:t>
            </w:r>
            <w:r>
              <w:rPr>
                <w:rFonts w:ascii="Times New Roman" w:hAnsi="Times New Roman"/>
                <w:i/>
                <w:spacing w:val="-1"/>
                <w:vertAlign w:val="subscript"/>
              </w:rPr>
              <w:t>c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000000" w:rsidRDefault="00143D1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Średnia wartość stałej dysocjacji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560" w:type="dxa"/>
            <w:tcBorders>
              <w:left w:val="single" w:sz="2" w:space="0" w:color="auto"/>
              <w:bottom w:val="single" w:sz="4" w:space="0" w:color="auto"/>
            </w:tcBorders>
          </w:tcPr>
          <w:p w:rsidR="00000000" w:rsidRDefault="00143D1B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275" w:type="dxa"/>
            <w:tcBorders>
              <w:left w:val="single" w:sz="7" w:space="0" w:color="auto"/>
              <w:bottom w:val="single" w:sz="4" w:space="0" w:color="auto"/>
            </w:tcBorders>
          </w:tcPr>
          <w:p w:rsidR="00000000" w:rsidRDefault="00143D1B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843" w:type="dxa"/>
            <w:tcBorders>
              <w:left w:val="single" w:sz="7" w:space="0" w:color="auto"/>
              <w:bottom w:val="single" w:sz="4" w:space="0" w:color="auto"/>
            </w:tcBorders>
          </w:tcPr>
          <w:p w:rsidR="00000000" w:rsidRDefault="00143D1B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418" w:type="dxa"/>
            <w:tcBorders>
              <w:left w:val="single" w:sz="7" w:space="0" w:color="auto"/>
              <w:bottom w:val="single" w:sz="4" w:space="0" w:color="auto"/>
            </w:tcBorders>
          </w:tcPr>
          <w:p w:rsidR="00000000" w:rsidRDefault="00143D1B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417" w:type="dxa"/>
            <w:tcBorders>
              <w:left w:val="single" w:sz="7" w:space="0" w:color="auto"/>
              <w:bottom w:val="single" w:sz="4" w:space="0" w:color="auto"/>
            </w:tcBorders>
          </w:tcPr>
          <w:p w:rsidR="00000000" w:rsidRDefault="00143D1B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418" w:type="dxa"/>
            <w:tcBorders>
              <w:left w:val="single" w:sz="7" w:space="0" w:color="auto"/>
              <w:bottom w:val="single" w:sz="4" w:space="0" w:color="auto"/>
              <w:right w:val="single" w:sz="2" w:space="0" w:color="auto"/>
            </w:tcBorders>
          </w:tcPr>
          <w:p w:rsidR="00000000" w:rsidRDefault="00143D1B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1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000000" w:rsidRDefault="00143D1B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7" w:space="0" w:color="auto"/>
              <w:bottom w:val="single" w:sz="4" w:space="0" w:color="auto"/>
            </w:tcBorders>
          </w:tcPr>
          <w:p w:rsidR="00000000" w:rsidRDefault="00143D1B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7" w:space="0" w:color="auto"/>
              <w:bottom w:val="single" w:sz="4" w:space="0" w:color="auto"/>
            </w:tcBorders>
          </w:tcPr>
          <w:p w:rsidR="00000000" w:rsidRDefault="00143D1B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7" w:space="0" w:color="auto"/>
              <w:bottom w:val="single" w:sz="4" w:space="0" w:color="auto"/>
            </w:tcBorders>
          </w:tcPr>
          <w:p w:rsidR="00000000" w:rsidRDefault="00143D1B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7" w:space="0" w:color="auto"/>
              <w:bottom w:val="single" w:sz="4" w:space="0" w:color="auto"/>
            </w:tcBorders>
          </w:tcPr>
          <w:p w:rsidR="00000000" w:rsidRDefault="00143D1B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7" w:space="0" w:color="auto"/>
              <w:bottom w:val="single" w:sz="4" w:space="0" w:color="auto"/>
              <w:right w:val="single" w:sz="2" w:space="0" w:color="auto"/>
            </w:tcBorders>
          </w:tcPr>
          <w:p w:rsidR="00000000" w:rsidRDefault="00143D1B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1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000000" w:rsidRDefault="00143D1B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7" w:space="0" w:color="auto"/>
              <w:bottom w:val="single" w:sz="4" w:space="0" w:color="auto"/>
            </w:tcBorders>
          </w:tcPr>
          <w:p w:rsidR="00000000" w:rsidRDefault="00143D1B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7" w:space="0" w:color="auto"/>
              <w:bottom w:val="single" w:sz="4" w:space="0" w:color="auto"/>
            </w:tcBorders>
          </w:tcPr>
          <w:p w:rsidR="00000000" w:rsidRDefault="00143D1B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7" w:space="0" w:color="auto"/>
              <w:bottom w:val="single" w:sz="4" w:space="0" w:color="auto"/>
            </w:tcBorders>
          </w:tcPr>
          <w:p w:rsidR="00000000" w:rsidRDefault="00143D1B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7" w:space="0" w:color="auto"/>
              <w:bottom w:val="single" w:sz="4" w:space="0" w:color="auto"/>
            </w:tcBorders>
          </w:tcPr>
          <w:p w:rsidR="00000000" w:rsidRDefault="00143D1B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7" w:space="0" w:color="auto"/>
              <w:bottom w:val="single" w:sz="4" w:space="0" w:color="auto"/>
              <w:right w:val="single" w:sz="2" w:space="0" w:color="auto"/>
            </w:tcBorders>
          </w:tcPr>
          <w:p w:rsidR="00000000" w:rsidRDefault="00143D1B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1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000000" w:rsidRDefault="00143D1B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7" w:space="0" w:color="auto"/>
              <w:bottom w:val="single" w:sz="4" w:space="0" w:color="auto"/>
            </w:tcBorders>
          </w:tcPr>
          <w:p w:rsidR="00000000" w:rsidRDefault="00143D1B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7" w:space="0" w:color="auto"/>
              <w:bottom w:val="single" w:sz="4" w:space="0" w:color="auto"/>
            </w:tcBorders>
          </w:tcPr>
          <w:p w:rsidR="00000000" w:rsidRDefault="00143D1B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7" w:space="0" w:color="auto"/>
              <w:bottom w:val="single" w:sz="4" w:space="0" w:color="auto"/>
            </w:tcBorders>
          </w:tcPr>
          <w:p w:rsidR="00000000" w:rsidRDefault="00143D1B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7" w:space="0" w:color="auto"/>
              <w:bottom w:val="single" w:sz="4" w:space="0" w:color="auto"/>
            </w:tcBorders>
          </w:tcPr>
          <w:p w:rsidR="00000000" w:rsidRDefault="00143D1B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7" w:space="0" w:color="auto"/>
              <w:bottom w:val="single" w:sz="4" w:space="0" w:color="auto"/>
              <w:right w:val="single" w:sz="2" w:space="0" w:color="auto"/>
            </w:tcBorders>
          </w:tcPr>
          <w:p w:rsidR="00000000" w:rsidRDefault="00143D1B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1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</w:tcPr>
          <w:p w:rsidR="00000000" w:rsidRDefault="00143D1B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7" w:space="0" w:color="auto"/>
              <w:bottom w:val="single" w:sz="2" w:space="0" w:color="auto"/>
            </w:tcBorders>
          </w:tcPr>
          <w:p w:rsidR="00000000" w:rsidRDefault="00143D1B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7" w:space="0" w:color="auto"/>
              <w:bottom w:val="single" w:sz="2" w:space="0" w:color="auto"/>
            </w:tcBorders>
          </w:tcPr>
          <w:p w:rsidR="00000000" w:rsidRDefault="00143D1B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7" w:space="0" w:color="auto"/>
              <w:bottom w:val="single" w:sz="2" w:space="0" w:color="auto"/>
            </w:tcBorders>
          </w:tcPr>
          <w:p w:rsidR="00000000" w:rsidRDefault="00143D1B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7" w:space="0" w:color="auto"/>
              <w:bottom w:val="single" w:sz="2" w:space="0" w:color="auto"/>
            </w:tcBorders>
          </w:tcPr>
          <w:p w:rsidR="00000000" w:rsidRDefault="00143D1B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7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143D1B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1"/>
              </w:rPr>
            </w:pPr>
          </w:p>
        </w:tc>
      </w:tr>
    </w:tbl>
    <w:p w:rsidR="00000000" w:rsidRDefault="00D90389">
      <w:pPr>
        <w:tabs>
          <w:tab w:val="left" w:pos="-720"/>
        </w:tabs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snapToGrid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1080135</wp:posOffset>
            </wp:positionH>
            <wp:positionV relativeFrom="paragraph">
              <wp:posOffset>162560</wp:posOffset>
            </wp:positionV>
            <wp:extent cx="4150360" cy="2878455"/>
            <wp:effectExtent l="19050" t="0" r="2540" b="0"/>
            <wp:wrapTopAndBottom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0360" cy="2878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3D1B">
        <w:rPr>
          <w:rFonts w:ascii="Times New Roman" w:hAnsi="Times New Roman"/>
          <w:b/>
        </w:rPr>
        <w:t>Rys.1.</w:t>
      </w:r>
      <w:r w:rsidR="00143D1B">
        <w:rPr>
          <w:rFonts w:ascii="Times New Roman" w:hAnsi="Times New Roman"/>
        </w:rPr>
        <w:t xml:space="preserve"> Widmo absorpcyjne indykatora HJn w zależności od  pH roztworu</w:t>
      </w:r>
    </w:p>
    <w:p w:rsidR="00143D1B" w:rsidRDefault="00143D1B">
      <w:pPr>
        <w:pStyle w:val="Tekstpodstawowy2"/>
        <w:spacing w:before="0"/>
        <w:rPr>
          <w:spacing w:val="-3"/>
          <w:sz w:val="24"/>
          <w:lang w:val="en-GB"/>
        </w:rPr>
      </w:pPr>
      <w:r w:rsidRPr="006A30FC">
        <w:rPr>
          <w:spacing w:val="-3"/>
          <w:sz w:val="24"/>
        </w:rPr>
        <w:t xml:space="preserve"> </w:t>
      </w:r>
      <w:r>
        <w:rPr>
          <w:spacing w:val="-3"/>
          <w:sz w:val="24"/>
          <w:lang w:val="en-GB"/>
        </w:rPr>
        <w:t>(pH(1) &lt;   pH</w:t>
      </w:r>
      <w:r>
        <w:rPr>
          <w:spacing w:val="-3"/>
          <w:sz w:val="24"/>
          <w:lang w:val="en-GB"/>
        </w:rPr>
        <w:t>(2) &lt;  pH(3)</w:t>
      </w:r>
    </w:p>
    <w:sectPr w:rsidR="00143D1B"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endnotePr>
        <w:numFmt w:val="decimal"/>
      </w:endnotePr>
      <w:pgSz w:w="11906" w:h="16838" w:code="9"/>
      <w:pgMar w:top="1134" w:right="1134" w:bottom="1134" w:left="1134" w:header="1134" w:footer="0" w:gutter="0"/>
      <w:pgNumType w:start="1"/>
      <w:cols w:space="708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D1B" w:rsidRDefault="00143D1B">
      <w:pPr>
        <w:spacing w:line="20" w:lineRule="exact"/>
      </w:pPr>
    </w:p>
  </w:endnote>
  <w:endnote w:type="continuationSeparator" w:id="1">
    <w:p w:rsidR="00143D1B" w:rsidRDefault="00143D1B">
      <w:r>
        <w:t xml:space="preserve"> </w:t>
      </w:r>
    </w:p>
  </w:endnote>
  <w:endnote w:type="continuationNotice" w:id="2">
    <w:p w:rsidR="00143D1B" w:rsidRDefault="00143D1B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P Greek Century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43D1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00000" w:rsidRDefault="00143D1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43D1B">
    <w:pPr>
      <w:pStyle w:val="Stopka"/>
      <w:framePr w:wrap="around" w:vAnchor="text" w:hAnchor="margin" w:xAlign="center" w:y="1"/>
      <w:rPr>
        <w:rStyle w:val="Numerstrony"/>
        <w:rFonts w:ascii="Times New Roman" w:hAnsi="Times New Roman"/>
      </w:rPr>
    </w:pPr>
    <w:r>
      <w:rPr>
        <w:rStyle w:val="Numerstrony"/>
        <w:rFonts w:ascii="Times New Roman" w:hAnsi="Times New Roman"/>
      </w:rPr>
      <w:fldChar w:fldCharType="begin"/>
    </w:r>
    <w:r>
      <w:rPr>
        <w:rStyle w:val="Numerstrony"/>
        <w:rFonts w:ascii="Times New Roman" w:hAnsi="Times New Roman"/>
      </w:rPr>
      <w:instrText xml:space="preserve">PAGE  </w:instrText>
    </w:r>
    <w:r>
      <w:rPr>
        <w:rStyle w:val="Numerstrony"/>
        <w:rFonts w:ascii="Times New Roman" w:hAnsi="Times New Roman"/>
      </w:rPr>
      <w:fldChar w:fldCharType="separate"/>
    </w:r>
    <w:r w:rsidR="006A30FC">
      <w:rPr>
        <w:rStyle w:val="Numerstrony"/>
        <w:rFonts w:ascii="Times New Roman" w:hAnsi="Times New Roman"/>
        <w:noProof/>
      </w:rPr>
      <w:t>3</w:t>
    </w:r>
    <w:r>
      <w:rPr>
        <w:rStyle w:val="Numerstrony"/>
        <w:rFonts w:ascii="Times New Roman" w:hAnsi="Times New Roman"/>
      </w:rPr>
      <w:fldChar w:fldCharType="end"/>
    </w:r>
  </w:p>
  <w:p w:rsidR="00000000" w:rsidRDefault="00143D1B">
    <w:pPr>
      <w:spacing w:before="140" w:line="100" w:lineRule="exact"/>
      <w:rPr>
        <w:sz w:val="10"/>
      </w:rPr>
    </w:pPr>
  </w:p>
  <w:p w:rsidR="00000000" w:rsidRDefault="00143D1B">
    <w:pPr>
      <w:keepNext/>
      <w:keepLines/>
      <w:suppressAutoHyphens/>
      <w:spacing w:line="360" w:lineRule="auto"/>
      <w:jc w:val="both"/>
    </w:pPr>
  </w:p>
  <w:p w:rsidR="00000000" w:rsidRDefault="00143D1B">
    <w:r>
      <w:rPr>
        <w:noProof/>
        <w:snapToGrid/>
      </w:rPr>
      <w:pict>
        <v:rect id="_x0000_s1025" style="position:absolute;margin-left:1in;margin-top:12pt;width:451.3pt;height:12pt;z-index:251657216;mso-position-horizontal-relative:page" o:allowincell="f" filled="f" stroked="f" strokeweight="0">
          <v:textbox style="mso-next-textbox:#_x0000_s1025" inset="0,0,0,0">
            <w:txbxContent>
              <w:p w:rsidR="00000000" w:rsidRDefault="00143D1B">
                <w:pPr>
                  <w:tabs>
                    <w:tab w:val="center" w:pos="4513"/>
                    <w:tab w:val="right" w:pos="9026"/>
                  </w:tabs>
                  <w:rPr>
                    <w:rFonts w:ascii="CG Times" w:hAnsi="CG Times"/>
                    <w:spacing w:val="-3"/>
                    <w:lang w:val="en-GB"/>
                  </w:rPr>
                </w:pPr>
                <w:r>
                  <w:tab/>
                </w:r>
                <w:r>
                  <w:rPr>
                    <w:rFonts w:ascii="CG Times" w:hAnsi="CG Times"/>
                    <w:spacing w:val="-3"/>
                    <w:lang w:val="en-GB"/>
                  </w:rPr>
                  <w:fldChar w:fldCharType="begin"/>
                </w:r>
                <w:r>
                  <w:rPr>
                    <w:rFonts w:ascii="CG Times" w:hAnsi="CG Times"/>
                    <w:spacing w:val="-3"/>
                    <w:lang w:val="en-GB"/>
                  </w:rPr>
                  <w:instrText>PAGE \* ARABIC</w:instrText>
                </w:r>
                <w:r>
                  <w:rPr>
                    <w:rFonts w:ascii="CG Times" w:hAnsi="CG Times"/>
                    <w:spacing w:val="-3"/>
                    <w:lang w:val="en-GB"/>
                  </w:rPr>
                  <w:fldChar w:fldCharType="separate"/>
                </w:r>
                <w:r w:rsidR="006A30FC">
                  <w:rPr>
                    <w:rFonts w:ascii="CG Times" w:hAnsi="CG Times"/>
                    <w:noProof/>
                    <w:spacing w:val="-3"/>
                    <w:lang w:val="en-GB"/>
                  </w:rPr>
                  <w:t>3</w:t>
                </w:r>
                <w:r>
                  <w:rPr>
                    <w:rFonts w:ascii="CG Times" w:hAnsi="CG Times"/>
                    <w:spacing w:val="-3"/>
                    <w:lang w:val="en-GB"/>
                  </w:rPr>
                  <w:fldChar w:fldCharType="end"/>
                </w:r>
              </w:p>
            </w:txbxContent>
          </v:textbox>
          <w10:wrap anchorx="page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43D1B">
    <w:pPr>
      <w:spacing w:before="140" w:line="100" w:lineRule="exact"/>
      <w:rPr>
        <w:sz w:val="10"/>
      </w:rPr>
    </w:pPr>
  </w:p>
  <w:p w:rsidR="00000000" w:rsidRDefault="00143D1B">
    <w:pPr>
      <w:keepNext/>
      <w:keepLines/>
      <w:suppressAutoHyphens/>
      <w:spacing w:line="360" w:lineRule="auto"/>
      <w:jc w:val="both"/>
    </w:pPr>
  </w:p>
  <w:p w:rsidR="00000000" w:rsidRDefault="00143D1B">
    <w:r>
      <w:rPr>
        <w:noProof/>
        <w:snapToGrid/>
      </w:rPr>
      <w:pict>
        <v:rect id="_x0000_s1026" style="position:absolute;margin-left:1in;margin-top:12pt;width:451.3pt;height:12pt;z-index:251658240;mso-position-horizontal-relative:page" o:allowincell="f" filled="f" stroked="f" strokeweight="0">
          <v:textbox style="mso-next-textbox:#_x0000_s1026" inset="0,0,0,0">
            <w:txbxContent>
              <w:p w:rsidR="00000000" w:rsidRDefault="00143D1B">
                <w:pPr>
                  <w:tabs>
                    <w:tab w:val="center" w:pos="4513"/>
                    <w:tab w:val="right" w:pos="9026"/>
                  </w:tabs>
                  <w:rPr>
                    <w:rFonts w:ascii="CG Times" w:hAnsi="CG Times"/>
                    <w:spacing w:val="-3"/>
                    <w:lang w:val="en-GB"/>
                  </w:rPr>
                </w:pPr>
                <w:r>
                  <w:tab/>
                </w:r>
                <w:r>
                  <w:rPr>
                    <w:rFonts w:ascii="CG Times" w:hAnsi="CG Times"/>
                    <w:spacing w:val="-3"/>
                    <w:lang w:val="en-GB"/>
                  </w:rPr>
                  <w:fldChar w:fldCharType="begin"/>
                </w:r>
                <w:r>
                  <w:rPr>
                    <w:rFonts w:ascii="CG Times" w:hAnsi="CG Times"/>
                    <w:spacing w:val="-3"/>
                    <w:lang w:val="en-GB"/>
                  </w:rPr>
                  <w:instrText>PAGE \* ARABIC</w:instrText>
                </w:r>
                <w:r>
                  <w:rPr>
                    <w:rFonts w:ascii="CG Times" w:hAnsi="CG Times"/>
                    <w:spacing w:val="-3"/>
                    <w:lang w:val="en-GB"/>
                  </w:rPr>
                  <w:fldChar w:fldCharType="separate"/>
                </w:r>
                <w:r w:rsidR="006A30FC">
                  <w:rPr>
                    <w:rFonts w:ascii="CG Times" w:hAnsi="CG Times"/>
                    <w:noProof/>
                    <w:spacing w:val="-3"/>
                    <w:lang w:val="en-GB"/>
                  </w:rPr>
                  <w:t>1</w:t>
                </w:r>
                <w:r>
                  <w:rPr>
                    <w:rFonts w:ascii="CG Times" w:hAnsi="CG Times"/>
                    <w:spacing w:val="-3"/>
                    <w:lang w:val="en-GB"/>
                  </w:rPr>
                  <w:fldChar w:fldCharType="end"/>
                </w:r>
              </w:p>
            </w:txbxContent>
          </v:textbox>
          <w10:wrap anchorx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D1B" w:rsidRDefault="00143D1B">
      <w:r>
        <w:separator/>
      </w:r>
    </w:p>
  </w:footnote>
  <w:footnote w:type="continuationSeparator" w:id="1">
    <w:p w:rsidR="00143D1B" w:rsidRDefault="00143D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43D1B">
    <w:pPr>
      <w:pStyle w:val="Nagwek"/>
      <w:jc w:val="center"/>
      <w:rPr>
        <w:rFonts w:ascii="Times New Roman" w:hAnsi="Times New Roman"/>
      </w:rPr>
    </w:pPr>
    <w:r>
      <w:rPr>
        <w:rFonts w:ascii="Times New Roman" w:hAnsi="Times New Roman"/>
      </w:rPr>
      <w:t>LABORATORIUM Z CHEMII FIZYCZNEJ</w:t>
    </w:r>
  </w:p>
  <w:p w:rsidR="00000000" w:rsidRDefault="00143D1B">
    <w:pPr>
      <w:pStyle w:val="Nagwek"/>
      <w:jc w:val="center"/>
      <w:rPr>
        <w:rFonts w:ascii="Times New Roman" w:hAnsi="Times New Roman"/>
      </w:rPr>
    </w:pPr>
    <w:r>
      <w:rPr>
        <w:rFonts w:ascii="Times New Roman" w:hAnsi="Times New Roman"/>
      </w:rPr>
      <w:t>Ćwiczenie 1</w:t>
    </w:r>
  </w:p>
  <w:tbl>
    <w:tblPr>
      <w:tblW w:w="0" w:type="auto"/>
      <w:tblInd w:w="4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720"/>
    </w:tblGrid>
    <w:tr w:rsidR="00000000">
      <w:tblPrEx>
        <w:tblCellMar>
          <w:top w:w="0" w:type="dxa"/>
          <w:bottom w:w="0" w:type="dxa"/>
        </w:tblCellMar>
      </w:tblPrEx>
      <w:trPr>
        <w:trHeight w:val="100"/>
      </w:trPr>
      <w:tc>
        <w:tcPr>
          <w:tcW w:w="9720" w:type="dxa"/>
        </w:tcPr>
        <w:p w:rsidR="00000000" w:rsidRDefault="00143D1B">
          <w:pPr>
            <w:pStyle w:val="Nagwek"/>
            <w:jc w:val="center"/>
          </w:pPr>
        </w:p>
      </w:tc>
    </w:tr>
  </w:tbl>
  <w:p w:rsidR="00000000" w:rsidRDefault="00143D1B">
    <w:pPr>
      <w:pStyle w:val="Nagwek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43D1B">
    <w:pPr>
      <w:pStyle w:val="Nagwek"/>
      <w:jc w:val="center"/>
      <w:rPr>
        <w:rFonts w:ascii="Times New Roman" w:hAnsi="Times New Roman"/>
      </w:rPr>
    </w:pPr>
    <w:r>
      <w:rPr>
        <w:rFonts w:ascii="Times New Roman" w:hAnsi="Times New Roman"/>
      </w:rPr>
      <w:t>LABORATORIUM Z CHEMII FIZYCZNEJ</w:t>
    </w:r>
  </w:p>
  <w:p w:rsidR="00000000" w:rsidRDefault="00143D1B">
    <w:pPr>
      <w:pStyle w:val="Nagwek"/>
      <w:jc w:val="center"/>
      <w:rPr>
        <w:rFonts w:ascii="Times New Roman" w:hAnsi="Times New Roman"/>
      </w:rPr>
    </w:pPr>
    <w:r>
      <w:rPr>
        <w:rFonts w:ascii="Times New Roman" w:hAnsi="Times New Roman"/>
      </w:rPr>
      <w:t>Ćwiczenie 1</w:t>
    </w:r>
  </w:p>
  <w:tbl>
    <w:tblPr>
      <w:tblW w:w="0" w:type="auto"/>
      <w:tblInd w:w="6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660"/>
    </w:tblGrid>
    <w:tr w:rsidR="00000000">
      <w:tblPrEx>
        <w:tblCellMar>
          <w:top w:w="0" w:type="dxa"/>
          <w:bottom w:w="0" w:type="dxa"/>
        </w:tblCellMar>
      </w:tblPrEx>
      <w:trPr>
        <w:trHeight w:val="100"/>
      </w:trPr>
      <w:tc>
        <w:tcPr>
          <w:tcW w:w="9660" w:type="dxa"/>
        </w:tcPr>
        <w:p w:rsidR="00000000" w:rsidRDefault="00143D1B">
          <w:pPr>
            <w:pStyle w:val="Nagwek"/>
            <w:jc w:val="center"/>
            <w:rPr>
              <w:rFonts w:ascii="Times New Roman" w:hAnsi="Times New Roman"/>
            </w:rPr>
          </w:pPr>
        </w:p>
      </w:tc>
    </w:tr>
  </w:tbl>
  <w:p w:rsidR="00000000" w:rsidRDefault="00143D1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8535F"/>
    <w:multiLevelType w:val="singleLevel"/>
    <w:tmpl w:val="7570B2C0"/>
    <w:lvl w:ilvl="0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</w:rPr>
    </w:lvl>
  </w:abstractNum>
  <w:abstractNum w:abstractNumId="1">
    <w:nsid w:val="1BFB2A4A"/>
    <w:multiLevelType w:val="singleLevel"/>
    <w:tmpl w:val="3AC06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3462526E"/>
    <w:multiLevelType w:val="singleLevel"/>
    <w:tmpl w:val="3FF61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46B83F9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hyphenationZone w:val="91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numFmt w:val="decimal"/>
    <w:endnote w:id="0"/>
    <w:endnote w:id="1"/>
    <w:endnote w:id="2"/>
  </w:endnotePr>
  <w:compat/>
  <w:rsids>
    <w:rsidRoot w:val="00D90389"/>
    <w:rsid w:val="00143D1B"/>
    <w:rsid w:val="006A30FC"/>
    <w:rsid w:val="00D90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  <w:rPr>
      <w:rFonts w:ascii="Courier New" w:hAnsi="Courier New"/>
      <w:snapToGrid w:val="0"/>
      <w:sz w:val="24"/>
    </w:rPr>
  </w:style>
  <w:style w:type="paragraph" w:styleId="Nagwek1">
    <w:name w:val="heading 1"/>
    <w:basedOn w:val="Normalny"/>
    <w:next w:val="Normalny"/>
    <w:qFormat/>
    <w:pPr>
      <w:keepNext/>
      <w:tabs>
        <w:tab w:val="left" w:pos="-720"/>
      </w:tabs>
      <w:suppressAutoHyphens/>
      <w:spacing w:line="360" w:lineRule="auto"/>
      <w:jc w:val="both"/>
      <w:outlineLvl w:val="0"/>
    </w:pPr>
    <w:rPr>
      <w:rFonts w:ascii="Times New Roman" w:hAnsi="Times New Roman"/>
      <w:b/>
      <w:spacing w:val="-3"/>
      <w:sz w:val="28"/>
      <w:u w:val="single"/>
      <w:lang w:val="en-GB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Times New Roman" w:hAnsi="Times New Roman"/>
      <w:b/>
      <w:sz w:val="28"/>
      <w:u w:val="single"/>
    </w:rPr>
  </w:style>
  <w:style w:type="paragraph" w:styleId="Nagwek3">
    <w:name w:val="heading 3"/>
    <w:basedOn w:val="Normalny"/>
    <w:next w:val="Normalny"/>
    <w:qFormat/>
    <w:pPr>
      <w:keepNext/>
      <w:tabs>
        <w:tab w:val="left" w:pos="-720"/>
      </w:tabs>
      <w:suppressAutoHyphens/>
      <w:spacing w:line="360" w:lineRule="auto"/>
      <w:jc w:val="both"/>
      <w:outlineLvl w:val="2"/>
    </w:pPr>
    <w:rPr>
      <w:rFonts w:ascii="CG Times" w:hAnsi="CG Times"/>
      <w:b/>
      <w:spacing w:val="-3"/>
      <w:u w:val="single"/>
      <w:lang w:val="en-GB"/>
    </w:rPr>
  </w:style>
  <w:style w:type="paragraph" w:styleId="Nagwek4">
    <w:name w:val="heading 4"/>
    <w:basedOn w:val="Normalny"/>
    <w:next w:val="Normalny"/>
    <w:qFormat/>
    <w:pPr>
      <w:keepNext/>
      <w:tabs>
        <w:tab w:val="left" w:pos="-720"/>
      </w:tabs>
      <w:suppressAutoHyphens/>
      <w:jc w:val="right"/>
      <w:outlineLvl w:val="3"/>
    </w:pPr>
    <w:rPr>
      <w:rFonts w:ascii="Times New Roman" w:hAnsi="Times New Roman"/>
      <w:b/>
      <w:spacing w:val="-3"/>
      <w:sz w:val="28"/>
    </w:rPr>
  </w:style>
  <w:style w:type="paragraph" w:styleId="Nagwek5">
    <w:name w:val="heading 5"/>
    <w:basedOn w:val="Normalny"/>
    <w:next w:val="Normalny"/>
    <w:qFormat/>
    <w:pPr>
      <w:keepNext/>
      <w:keepLines/>
      <w:tabs>
        <w:tab w:val="left" w:pos="-720"/>
      </w:tabs>
      <w:suppressAutoHyphens/>
      <w:jc w:val="center"/>
      <w:outlineLvl w:val="4"/>
    </w:pPr>
    <w:rPr>
      <w:rFonts w:ascii="Times New Roman" w:hAnsi="Times New Roman"/>
      <w:b/>
      <w:spacing w:val="-3"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</w:style>
  <w:style w:type="character" w:styleId="Odwoanieprzypisukocowego">
    <w:name w:val="endnote reference"/>
    <w:basedOn w:val="Domylnaczcionkaakapitu"/>
    <w:semiHidden/>
    <w:rPr>
      <w:vertAlign w:val="superscript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customStyle="1" w:styleId="spistreci1">
    <w:name w:val="spis treści 1"/>
    <w:basedOn w:val="Normalny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Spistreci5">
    <w:name w:val="toc 5"/>
    <w:basedOn w:val="Normalny"/>
    <w:next w:val="Normalny"/>
    <w:autoRedefine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Spistreci6">
    <w:name w:val="toc 6"/>
    <w:basedOn w:val="Normalny"/>
    <w:next w:val="Normalny"/>
    <w:autoRedefine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Spistreci7">
    <w:name w:val="toc 7"/>
    <w:basedOn w:val="Normalny"/>
    <w:next w:val="Normalny"/>
    <w:autoRedefine/>
    <w:semiHidden/>
    <w:pPr>
      <w:suppressAutoHyphens/>
      <w:ind w:left="720" w:hanging="720"/>
    </w:pPr>
    <w:rPr>
      <w:lang w:val="en-US"/>
    </w:rPr>
  </w:style>
  <w:style w:type="paragraph" w:styleId="Spistreci8">
    <w:name w:val="toc 8"/>
    <w:basedOn w:val="Normalny"/>
    <w:next w:val="Normalny"/>
    <w:autoRedefine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spistreci9">
    <w:name w:val="spis treści 9"/>
    <w:basedOn w:val="Normalny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customStyle="1" w:styleId="indeks1">
    <w:name w:val="indeks 1"/>
    <w:basedOn w:val="Normalny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customStyle="1" w:styleId="indeks2">
    <w:name w:val="indeks 2"/>
    <w:basedOn w:val="Normalny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nagwekwykazurde">
    <w:name w:val="nagłówek wykazu źródeł"/>
    <w:basedOn w:val="Normalny"/>
    <w:pPr>
      <w:tabs>
        <w:tab w:val="right" w:pos="9360"/>
      </w:tabs>
      <w:suppressAutoHyphens/>
    </w:pPr>
    <w:rPr>
      <w:lang w:val="en-US"/>
    </w:rPr>
  </w:style>
  <w:style w:type="paragraph" w:customStyle="1" w:styleId="podpis">
    <w:name w:val="podpis"/>
    <w:basedOn w:val="Normalny"/>
  </w:style>
  <w:style w:type="character" w:customStyle="1" w:styleId="EquationCaption">
    <w:name w:val="_Equation Caption"/>
  </w:style>
  <w:style w:type="paragraph" w:styleId="Tekstpodstawowywcity">
    <w:name w:val="Body Text Indent"/>
    <w:basedOn w:val="Normalny"/>
    <w:semiHidden/>
    <w:pPr>
      <w:suppressAutoHyphens/>
      <w:ind w:left="142" w:hanging="33"/>
      <w:jc w:val="both"/>
    </w:pPr>
    <w:rPr>
      <w:rFonts w:ascii="Times New Roman" w:hAnsi="Times New Roman"/>
      <w:b/>
      <w:spacing w:val="-3"/>
      <w:sz w:val="28"/>
    </w:rPr>
  </w:style>
  <w:style w:type="paragraph" w:styleId="Tekstpodstawowy">
    <w:name w:val="Body Text"/>
    <w:basedOn w:val="Normalny"/>
    <w:semiHidden/>
    <w:pPr>
      <w:tabs>
        <w:tab w:val="left" w:pos="-720"/>
        <w:tab w:val="left" w:pos="0"/>
      </w:tabs>
      <w:suppressAutoHyphens/>
      <w:ind w:right="95"/>
      <w:jc w:val="both"/>
    </w:pPr>
    <w:rPr>
      <w:rFonts w:ascii="Times New Roman" w:hAnsi="Times New Roman"/>
      <w:b/>
      <w:spacing w:val="-3"/>
      <w:sz w:val="28"/>
    </w:rPr>
  </w:style>
  <w:style w:type="paragraph" w:styleId="Tekstpodstawowy2">
    <w:name w:val="Body Text 2"/>
    <w:basedOn w:val="Normalny"/>
    <w:semiHidden/>
    <w:pPr>
      <w:tabs>
        <w:tab w:val="left" w:pos="-720"/>
      </w:tabs>
      <w:suppressAutoHyphens/>
      <w:spacing w:before="90"/>
      <w:jc w:val="center"/>
    </w:pPr>
    <w:rPr>
      <w:rFonts w:ascii="Times New Roman" w:hAnsi="Times New Roman"/>
      <w:spacing w:val="-1"/>
      <w:sz w:val="28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footer" Target="footer3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header" Target="header1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1315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Oznaczanie stopnia i staej dysocjacji przy pomocy kolorymetru oraz sprawdzanie prawa rozciecze</vt:lpstr>
    </vt:vector>
  </TitlesOfParts>
  <Company> </Company>
  <LinksUpToDate>false</LinksUpToDate>
  <CharactersWithSpaces>9188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Oznaczanie stopnia i staej dysocjacji przy pomocy kolorymetru oraz sprawdzanie prawa rozciecze</dc:title>
  <dc:subject/>
  <dc:creator>E.G.</dc:creator>
  <cp:keywords/>
  <cp:lastModifiedBy>Dąbek Jarosław</cp:lastModifiedBy>
  <cp:revision>3</cp:revision>
  <cp:lastPrinted>2002-02-13T12:55:00Z</cp:lastPrinted>
  <dcterms:created xsi:type="dcterms:W3CDTF">2014-02-20T09:11:00Z</dcterms:created>
  <dcterms:modified xsi:type="dcterms:W3CDTF">2014-02-20T09:12:00Z</dcterms:modified>
</cp:coreProperties>
</file>